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EE" w:rsidRDefault="005B05D8">
      <w:pPr>
        <w:spacing w:after="0" w:line="259" w:lineRule="auto"/>
        <w:ind w:left="0" w:right="0"/>
        <w:jc w:val="left"/>
      </w:pPr>
      <w:r>
        <w:rPr>
          <w:rFonts w:ascii="Courier New" w:eastAsia="Courier New" w:hAnsi="Courier New" w:cs="Courier New"/>
          <w:sz w:val="38"/>
        </w:rPr>
        <w:t xml:space="preserve"> </w:t>
      </w:r>
      <w:r>
        <w:rPr>
          <w:noProof/>
        </w:rPr>
        <w:drawing>
          <wp:inline distT="0" distB="0" distL="0" distR="0">
            <wp:extent cx="6099" cy="12193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BEE" w:rsidRDefault="005B05D8">
      <w:pPr>
        <w:tabs>
          <w:tab w:val="center" w:pos="2675"/>
        </w:tabs>
        <w:spacing w:after="4" w:line="251" w:lineRule="auto"/>
        <w:ind w:left="0" w:right="0"/>
        <w:jc w:val="left"/>
      </w:pPr>
      <w:r>
        <w:t xml:space="preserve">         </w:t>
      </w:r>
      <w:r>
        <w:t>Číslo smlouvy objednatele: 06EU-002685</w:t>
      </w:r>
    </w:p>
    <w:p w:rsidR="00454BEE" w:rsidRDefault="005B05D8">
      <w:pPr>
        <w:tabs>
          <w:tab w:val="center" w:pos="1849"/>
          <w:tab w:val="center" w:pos="4111"/>
        </w:tabs>
        <w:spacing w:after="4" w:line="251" w:lineRule="auto"/>
        <w:ind w:left="0" w:right="0"/>
        <w:jc w:val="left"/>
      </w:pPr>
      <w:r>
        <w:tab/>
        <w:t>Číslo smlouvy zhotovitele:</w:t>
      </w:r>
      <w:r>
        <w:tab/>
        <w:t>1-0317-00/10</w:t>
      </w:r>
    </w:p>
    <w:p w:rsidR="00454BEE" w:rsidRDefault="005B05D8">
      <w:pPr>
        <w:tabs>
          <w:tab w:val="center" w:pos="1177"/>
          <w:tab w:val="center" w:pos="4653"/>
        </w:tabs>
        <w:spacing w:after="536" w:line="251" w:lineRule="auto"/>
        <w:ind w:left="0" w:right="0"/>
        <w:jc w:val="left"/>
      </w:pPr>
      <w:r>
        <w:tab/>
        <w:t>Financování:</w:t>
      </w:r>
      <w:r>
        <w:tab/>
      </w:r>
      <w:r w:rsidRPr="005B05D8">
        <w:rPr>
          <w:highlight w:val="black"/>
        </w:rPr>
        <w:t>532 151 0007.9259.2149</w:t>
      </w:r>
    </w:p>
    <w:p w:rsidR="00454BEE" w:rsidRDefault="005B05D8">
      <w:pPr>
        <w:spacing w:after="0" w:line="264" w:lineRule="auto"/>
        <w:ind w:left="2612" w:right="3093" w:firstLine="1364"/>
        <w:jc w:val="left"/>
      </w:pPr>
      <w:r>
        <w:rPr>
          <w:sz w:val="38"/>
        </w:rPr>
        <w:t>Smlouva o dílo na zhotovení projektových prací</w:t>
      </w:r>
    </w:p>
    <w:p w:rsidR="00454BEE" w:rsidRDefault="005B05D8">
      <w:pPr>
        <w:spacing w:after="344" w:line="251" w:lineRule="auto"/>
        <w:ind w:left="1892" w:right="2290"/>
      </w:pPr>
      <w:r>
        <w:t>uzavřená v souladu se zákonem č. 89/2012 Sb., Občanský zákoník</w:t>
      </w:r>
    </w:p>
    <w:p w:rsidR="00454BEE" w:rsidRPr="005B05D8" w:rsidRDefault="005B05D8">
      <w:pPr>
        <w:spacing w:after="399" w:line="259" w:lineRule="auto"/>
        <w:ind w:left="845" w:right="0"/>
        <w:jc w:val="left"/>
        <w:rPr>
          <w:u w:val="single"/>
        </w:rPr>
      </w:pPr>
      <w:r>
        <w:rPr>
          <w:sz w:val="34"/>
          <w:u w:val="single"/>
        </w:rPr>
        <w:t>„I/22 Nalžovské Hory — průtah,</w:t>
      </w:r>
      <w:r w:rsidRPr="005B05D8">
        <w:rPr>
          <w:sz w:val="34"/>
          <w:u w:val="single"/>
        </w:rPr>
        <w:t xml:space="preserve"> aktualizace dokumentace DŮR”</w:t>
      </w:r>
    </w:p>
    <w:p w:rsidR="00454BEE" w:rsidRDefault="005B05D8">
      <w:pPr>
        <w:spacing w:after="0" w:line="259" w:lineRule="auto"/>
        <w:ind w:left="10" w:right="480" w:hanging="10"/>
        <w:jc w:val="center"/>
      </w:pPr>
      <w:r>
        <w:rPr>
          <w:sz w:val="26"/>
        </w:rPr>
        <w:t>1.</w:t>
      </w:r>
    </w:p>
    <w:p w:rsidR="00454BEE" w:rsidRDefault="005B05D8">
      <w:pPr>
        <w:spacing w:after="0" w:line="259" w:lineRule="auto"/>
        <w:ind w:left="557" w:right="3775" w:firstLine="3592"/>
        <w:jc w:val="left"/>
      </w:pPr>
      <w:r>
        <w:rPr>
          <w:sz w:val="26"/>
        </w:rPr>
        <w:t>Úvodní ustanovení Smluvní strany</w:t>
      </w:r>
    </w:p>
    <w:tbl>
      <w:tblPr>
        <w:tblStyle w:val="TableGrid"/>
        <w:tblW w:w="8577" w:type="dxa"/>
        <w:tblInd w:w="394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7156"/>
      </w:tblGrid>
      <w:tr w:rsidR="00454BEE" w:rsidTr="005B05D8">
        <w:trPr>
          <w:trHeight w:val="314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454BEE" w:rsidRDefault="005B05D8">
            <w:pPr>
              <w:spacing w:after="0" w:line="259" w:lineRule="auto"/>
              <w:ind w:left="163" w:right="0"/>
              <w:jc w:val="left"/>
            </w:pPr>
            <w:r>
              <w:t>Objednatel: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:rsidR="00454BEE" w:rsidRDefault="005B05D8">
            <w:pPr>
              <w:spacing w:after="0" w:line="259" w:lineRule="auto"/>
              <w:ind w:left="163" w:right="0"/>
              <w:jc w:val="left"/>
            </w:pPr>
            <w:r>
              <w:rPr>
                <w:sz w:val="26"/>
              </w:rPr>
              <w:t>Ředitelství silnic a dálnic ČR</w:t>
            </w:r>
          </w:p>
          <w:p w:rsidR="00454BEE" w:rsidRDefault="005B05D8">
            <w:pPr>
              <w:spacing w:after="0" w:line="259" w:lineRule="auto"/>
              <w:ind w:left="154" w:right="0"/>
              <w:jc w:val="left"/>
            </w:pPr>
            <w:r>
              <w:t>Na Pankráci 56, 145 05 Praha 4</w:t>
            </w:r>
          </w:p>
          <w:p w:rsidR="00454BEE" w:rsidRDefault="005B05D8">
            <w:pPr>
              <w:spacing w:after="30" w:line="250" w:lineRule="auto"/>
              <w:ind w:left="1441" w:right="0" w:hanging="1287"/>
              <w:jc w:val="left"/>
            </w:pPr>
            <w:r>
              <w:t xml:space="preserve">Zastoupené: </w:t>
            </w:r>
            <w:r w:rsidRPr="005B05D8">
              <w:rPr>
                <w:highlight w:val="black"/>
              </w:rPr>
              <w:t>Ing. Zdeňkem Kuťákem, pověřeným řízením</w:t>
            </w:r>
            <w:r>
              <w:t xml:space="preserve"> Správy Plzeň, Hřímalého 37, 301 OO Plzeň</w:t>
            </w:r>
          </w:p>
          <w:p w:rsidR="00454BEE" w:rsidRDefault="005B05D8">
            <w:pPr>
              <w:spacing w:after="0" w:line="251" w:lineRule="auto"/>
              <w:ind w:left="154" w:right="3006"/>
              <w:jc w:val="left"/>
            </w:pPr>
            <w:r>
              <w:t>Telefon:</w:t>
            </w:r>
            <w:r>
              <w:tab/>
            </w:r>
            <w:r w:rsidRPr="005B05D8">
              <w:rPr>
                <w:highlight w:val="black"/>
              </w:rPr>
              <w:t>377 333 705</w:t>
            </w:r>
            <w:r>
              <w:t xml:space="preserve"> Fax:</w:t>
            </w:r>
            <w:r>
              <w:tab/>
            </w:r>
            <w:r w:rsidRPr="005B05D8">
              <w:rPr>
                <w:highlight w:val="black"/>
              </w:rPr>
              <w:t>377 422 61</w:t>
            </w:r>
            <w:r>
              <w:t xml:space="preserve"> bankovní spojení: </w:t>
            </w:r>
            <w:r w:rsidRPr="005B05D8">
              <w:rPr>
                <w:highlight w:val="black"/>
              </w:rPr>
              <w:t>Komerční banka Praha číslo účtu: 51-1422200277/0100</w:t>
            </w:r>
            <w:r>
              <w:t xml:space="preserve"> IČO:</w:t>
            </w:r>
            <w:r>
              <w:tab/>
              <w:t>659 93 390</w:t>
            </w:r>
          </w:p>
          <w:p w:rsidR="00454BEE" w:rsidRDefault="005B05D8">
            <w:pPr>
              <w:tabs>
                <w:tab w:val="center" w:pos="2127"/>
              </w:tabs>
              <w:spacing w:after="0" w:line="259" w:lineRule="auto"/>
              <w:ind w:left="0" w:right="0"/>
              <w:jc w:val="left"/>
            </w:pPr>
            <w:r>
              <w:t xml:space="preserve">  DIČ: </w:t>
            </w:r>
            <w:r>
              <w:t>CZ659 93 390</w:t>
            </w:r>
          </w:p>
        </w:tc>
      </w:tr>
      <w:tr w:rsidR="00454BEE" w:rsidTr="005B05D8">
        <w:trPr>
          <w:trHeight w:val="653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BEE" w:rsidRDefault="005B05D8">
            <w:pPr>
              <w:spacing w:after="0" w:line="259" w:lineRule="auto"/>
              <w:ind w:left="0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9" cy="12193"/>
                  <wp:effectExtent l="0" t="0" r="0" b="0"/>
                  <wp:docPr id="1144" name="Picture 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 1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Zhotovitel: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BEE" w:rsidRDefault="005B05D8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VP</w:t>
            </w:r>
            <w:r>
              <w:rPr>
                <w:sz w:val="26"/>
              </w:rPr>
              <w:t>Ú DECO PRAHA a.s.</w:t>
            </w:r>
          </w:p>
        </w:tc>
      </w:tr>
    </w:tbl>
    <w:p w:rsidR="00454BEE" w:rsidRPr="005B05D8" w:rsidRDefault="005B05D8">
      <w:pPr>
        <w:spacing w:after="4" w:line="251" w:lineRule="auto"/>
        <w:ind w:left="1825" w:right="2290"/>
        <w:rPr>
          <w:highlight w:val="black"/>
        </w:rPr>
      </w:pPr>
      <w:r>
        <w:t xml:space="preserve">Podbabská 1014/20, 160 OO Praha 6 zastoupený: </w:t>
      </w:r>
      <w:r w:rsidRPr="005B05D8">
        <w:rPr>
          <w:highlight w:val="black"/>
        </w:rPr>
        <w:t>Ing. Lubor Hoďánek, MBA, předseda představenstva Ing. Martin Vejsada, místopředseda představenstva</w:t>
      </w:r>
    </w:p>
    <w:p w:rsidR="00454BEE" w:rsidRDefault="005B05D8">
      <w:pPr>
        <w:spacing w:after="4" w:line="251" w:lineRule="auto"/>
        <w:ind w:left="1815" w:right="4793"/>
      </w:pPr>
      <w:r w:rsidRPr="005B05D8">
        <w:rPr>
          <w:highlight w:val="black"/>
        </w:rPr>
        <w:t>Ing. Markéta Miková, člen představenstva</w:t>
      </w:r>
      <w:r>
        <w:t xml:space="preserve"> Telefon: </w:t>
      </w:r>
      <w:r w:rsidRPr="005B05D8">
        <w:rPr>
          <w:highlight w:val="black"/>
        </w:rPr>
        <w:t>220 188 301</w:t>
      </w:r>
      <w:r>
        <w:t xml:space="preserve"> Fax:</w:t>
      </w:r>
    </w:p>
    <w:p w:rsidR="00454BEE" w:rsidRDefault="005B05D8">
      <w:pPr>
        <w:spacing w:after="546" w:line="251" w:lineRule="auto"/>
        <w:ind w:left="1815" w:right="1114"/>
        <w:jc w:val="left"/>
      </w:pPr>
      <w:r>
        <w:t xml:space="preserve">bankovní spojení: </w:t>
      </w:r>
      <w:r w:rsidRPr="005B05D8">
        <w:rPr>
          <w:highlight w:val="black"/>
        </w:rPr>
        <w:t>ČSOB, a.s. číslo účtu:</w:t>
      </w:r>
      <w:r w:rsidRPr="005B05D8">
        <w:rPr>
          <w:highlight w:val="black"/>
        </w:rPr>
        <w:tab/>
        <w:t>2689681 /0300</w:t>
      </w:r>
      <w:r>
        <w:t xml:space="preserve"> IČO:</w:t>
      </w:r>
      <w:r>
        <w:tab/>
        <w:t>60193280 DIČ:</w:t>
      </w:r>
      <w:r>
        <w:tab/>
        <w:t xml:space="preserve">CZ60193280 ve věcech smluvních je oprávněn jednat: </w:t>
      </w:r>
      <w:r w:rsidRPr="005B05D8">
        <w:rPr>
          <w:highlight w:val="black"/>
        </w:rPr>
        <w:t>Ing. Lubor Hoďánek, MBA, předseda představenstva Ing. Martin Vejsada, místopředseda představenstva</w:t>
      </w:r>
      <w:r>
        <w:t xml:space="preserve"> ve věcech technických je oprávně</w:t>
      </w:r>
      <w:r>
        <w:t xml:space="preserve">n jednat: </w:t>
      </w:r>
      <w:r w:rsidRPr="005B05D8">
        <w:rPr>
          <w:highlight w:val="black"/>
        </w:rPr>
        <w:t>Ing. Vít Havlíček</w:t>
      </w:r>
    </w:p>
    <w:p w:rsidR="00454BEE" w:rsidRDefault="005B05D8">
      <w:pPr>
        <w:spacing w:after="0" w:line="259" w:lineRule="auto"/>
        <w:ind w:left="0" w:right="509"/>
        <w:jc w:val="center"/>
      </w:pPr>
      <w:r>
        <w:rPr>
          <w:sz w:val="22"/>
        </w:rPr>
        <w:t>11.</w:t>
      </w:r>
    </w:p>
    <w:p w:rsidR="00454BEE" w:rsidRDefault="005B05D8">
      <w:pPr>
        <w:spacing w:after="0" w:line="259" w:lineRule="auto"/>
        <w:ind w:left="10" w:right="519" w:hanging="10"/>
        <w:jc w:val="center"/>
      </w:pPr>
      <w:r>
        <w:rPr>
          <w:sz w:val="26"/>
        </w:rPr>
        <w:t>Předmět díla</w:t>
      </w:r>
    </w:p>
    <w:p w:rsidR="00454BEE" w:rsidRDefault="005B05D8">
      <w:pPr>
        <w:ind w:left="744" w:right="993"/>
      </w:pPr>
      <w:r>
        <w:rPr>
          <w:noProof/>
        </w:rPr>
        <w:t xml:space="preserve"> </w:t>
      </w:r>
      <w:r>
        <w:t>Předmětem zakázky je aktualizace dokumentace DŮR, v rámci přípravy stavby I/22 Nalžovské Hory - průtah. Předpokládaný rozsah prací je průvodní zpráva, souhrnná technická zpráva, situační výkresy (přehledná koor</w:t>
      </w:r>
      <w:r>
        <w:t xml:space="preserve">dinační situace, zákres do katastrální </w:t>
      </w:r>
      <w:r>
        <w:t>mapy), výkresová dokumentace (podélný profil, vzorové příčné řezy, opěrná zeď na silnici I/22, stavební úpravy objektu sýpky, staveniště a organizace výstavby), dokladová část (projednání na technických radách s rozho</w:t>
      </w:r>
      <w:r>
        <w:t xml:space="preserve">dujícím orgány státní správy), související dokumentace </w:t>
      </w:r>
      <w:r>
        <w:lastRenderedPageBreak/>
        <w:t>(záborový elaborát, dotisky neměnných příloh). Projektová dokumentace bude zpracována podle vyhlášky č. 499/2006 a č. 62/2013. projektová dokumentace bude předána:</w:t>
      </w:r>
    </w:p>
    <w:p w:rsidR="00454BEE" w:rsidRDefault="005B05D8">
      <w:pPr>
        <w:spacing w:after="242" w:line="259" w:lineRule="auto"/>
        <w:ind w:left="942" w:right="0" w:hanging="10"/>
        <w:jc w:val="left"/>
      </w:pP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3471" name="Picture 3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" name="Picture 34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8x v tištěné podobě + 8x na CD</w:t>
      </w:r>
    </w:p>
    <w:p w:rsidR="00454BEE" w:rsidRDefault="005B05D8">
      <w:pPr>
        <w:numPr>
          <w:ilvl w:val="0"/>
          <w:numId w:val="1"/>
        </w:numPr>
        <w:ind w:right="993" w:hanging="644"/>
      </w:pPr>
      <w:r>
        <w:t>Doku</w:t>
      </w:r>
      <w:r>
        <w:t>mentace pro provádění stavby bude zpracována zejména v souladu s:</w:t>
      </w:r>
    </w:p>
    <w:p w:rsidR="00454BEE" w:rsidRDefault="005B05D8">
      <w:pPr>
        <w:numPr>
          <w:ilvl w:val="1"/>
          <w:numId w:val="1"/>
        </w:numPr>
        <w:ind w:left="1296" w:right="993" w:hanging="355"/>
      </w:pPr>
      <w:r>
        <w:t>Obchodními podmínkami pro zeměměřické a průzkumné práce a dokumentaci staveb pozemních komunikací MD ČR - Odbor pozemních komunikací č.j. 636/03-120-RS/I ze dne 19. 12. 2003 s účinností od 1</w:t>
      </w:r>
      <w:r>
        <w:t>.I. 2004, v aktuálním znění</w:t>
      </w:r>
    </w:p>
    <w:p w:rsidR="00454BEE" w:rsidRDefault="005B05D8">
      <w:pPr>
        <w:numPr>
          <w:ilvl w:val="1"/>
          <w:numId w:val="1"/>
        </w:numPr>
        <w:ind w:left="1296" w:right="993" w:hanging="355"/>
      </w:pPr>
      <w:r>
        <w:t>Technickými kvalitativními podmínkami pro dokumentaci staveb PK (TKP D), MD — OPK, č.j. 475/105-120-RS/I ze dne 29. 8. 2005 s účinností od 1. 10. 2005, v aktuálním znění</w:t>
      </w:r>
    </w:p>
    <w:p w:rsidR="00454BEE" w:rsidRDefault="005B05D8">
      <w:pPr>
        <w:numPr>
          <w:ilvl w:val="1"/>
          <w:numId w:val="1"/>
        </w:numPr>
        <w:ind w:left="1296" w:right="993" w:hanging="355"/>
      </w:pPr>
      <w:r>
        <w:t>Příkazem generálního ředitele ŘSD ČR č. IO — Členění a roz</w:t>
      </w:r>
      <w:r>
        <w:t xml:space="preserve">sah dokumentace stavby PDPS (pro výběrové řízení zhotovitele stavby) </w:t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3475" name="Picture 3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" name="Picture 34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oborovým třídníkem stavebních konstrukcí a prací staveb PK schváleným MD-OI č.j.</w:t>
      </w:r>
    </w:p>
    <w:p w:rsidR="00454BEE" w:rsidRDefault="005B05D8">
      <w:pPr>
        <w:spacing w:after="275"/>
        <w:ind w:left="951" w:right="1594" w:firstLine="375"/>
      </w:pPr>
      <w:r>
        <w:t xml:space="preserve">1125/07-910-1PK/1 ze dne 17. 12. 2007 s účinností od 1.1.2008 </w:t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3476" name="Picture 3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" name="Picture 34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vzorovými listy schválenými MD ČR, platnými TP a technickými normami ČSN</w:t>
      </w:r>
    </w:p>
    <w:p w:rsidR="00454BEE" w:rsidRDefault="005B05D8">
      <w:pPr>
        <w:numPr>
          <w:ilvl w:val="0"/>
          <w:numId w:val="1"/>
        </w:numPr>
        <w:ind w:right="993" w:hanging="644"/>
      </w:pPr>
      <w:r>
        <w:t>Jakékoliv změny oproti sjednanému druhu, rozsahu a termínu dokončení díla, které vyplynou z dodatečných požadavků objednatele, ze změny obecně závazných právních předpisů, z požadavk</w:t>
      </w:r>
      <w:r>
        <w:t>ů veřejnoprávních orgánů nebo z důvodů vyšší moci či nepředpokládaných překážek, neležících na straně zhotovitele, budou předmětem dodatků k této smlouvě.</w:t>
      </w:r>
    </w:p>
    <w:p w:rsidR="00454BEE" w:rsidRDefault="005B05D8">
      <w:pPr>
        <w:spacing w:after="271"/>
        <w:ind w:left="1297" w:right="993" w:hanging="58"/>
      </w:pPr>
      <w:r>
        <w:t>V těchto dodatcích bude dohodnuta odpovídající změna předmětu díla, doby plnění a ceny za dílo.</w:t>
      </w:r>
    </w:p>
    <w:p w:rsidR="00454BEE" w:rsidRDefault="005B05D8">
      <w:pPr>
        <w:spacing w:after="21" w:line="259" w:lineRule="auto"/>
        <w:ind w:left="0" w:right="413"/>
        <w:jc w:val="center"/>
      </w:pPr>
      <w:r>
        <w:rPr>
          <w:sz w:val="20"/>
        </w:rPr>
        <w:t>111.</w:t>
      </w:r>
    </w:p>
    <w:p w:rsidR="00454BEE" w:rsidRDefault="005B05D8">
      <w:pPr>
        <w:spacing w:after="0" w:line="259" w:lineRule="auto"/>
        <w:ind w:left="1143" w:right="1537" w:hanging="10"/>
        <w:jc w:val="center"/>
      </w:pPr>
      <w:r>
        <w:rPr>
          <w:sz w:val="26"/>
        </w:rPr>
        <w:t>Doba plnění</w:t>
      </w:r>
    </w:p>
    <w:p w:rsidR="00454BEE" w:rsidRDefault="005B05D8">
      <w:pPr>
        <w:ind w:left="744" w:right="993"/>
      </w:pPr>
      <w:r>
        <w:rPr>
          <w:noProof/>
        </w:rPr>
        <w:drawing>
          <wp:inline distT="0" distB="0" distL="0" distR="0">
            <wp:extent cx="85384" cy="109733"/>
            <wp:effectExtent l="0" t="0" r="0" b="0"/>
            <wp:docPr id="14722" name="Picture 14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" name="Picture 147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se dohodly, že dílo bude dokončeno a předáno objednateli v termínu:</w:t>
      </w:r>
    </w:p>
    <w:p w:rsidR="00454BEE" w:rsidRDefault="005B05D8">
      <w:pPr>
        <w:tabs>
          <w:tab w:val="center" w:pos="1460"/>
          <w:tab w:val="center" w:pos="2632"/>
        </w:tabs>
        <w:spacing w:after="242" w:line="259" w:lineRule="auto"/>
        <w:ind w:left="0" w:right="0"/>
        <w:jc w:val="left"/>
      </w:pPr>
      <w:r>
        <w:tab/>
      </w:r>
      <w:r>
        <w:t>do:</w:t>
      </w:r>
      <w:r>
        <w:tab/>
        <w:t>30. 06. 2016</w:t>
      </w:r>
    </w:p>
    <w:p w:rsidR="00454BEE" w:rsidRDefault="005B05D8">
      <w:pPr>
        <w:spacing w:after="0" w:line="259" w:lineRule="auto"/>
        <w:ind w:left="1143" w:right="1537" w:hanging="10"/>
        <w:jc w:val="center"/>
      </w:pPr>
      <w:r>
        <w:rPr>
          <w:sz w:val="26"/>
        </w:rPr>
        <w:t>IV.</w:t>
      </w:r>
    </w:p>
    <w:p w:rsidR="00454BEE" w:rsidRDefault="005B05D8">
      <w:pPr>
        <w:spacing w:after="0" w:line="259" w:lineRule="auto"/>
        <w:ind w:left="1143" w:right="1546" w:hanging="10"/>
        <w:jc w:val="center"/>
      </w:pPr>
      <w:r>
        <w:rPr>
          <w:sz w:val="26"/>
        </w:rPr>
        <w:t>Cena za dílo</w:t>
      </w:r>
    </w:p>
    <w:p w:rsidR="00454BEE" w:rsidRDefault="005B05D8">
      <w:pPr>
        <w:ind w:left="1080" w:right="993" w:hanging="336"/>
      </w:pPr>
      <w:r>
        <w:rPr>
          <w:noProof/>
        </w:rPr>
        <w:drawing>
          <wp:inline distT="0" distB="0" distL="0" distR="0">
            <wp:extent cx="85384" cy="109734"/>
            <wp:effectExtent l="0" t="0" r="0" b="0"/>
            <wp:docPr id="14724" name="Picture 14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" name="Picture 147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10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se zavazuje zaplatit zhotoviteli za provedení díla cenu stanovenou v souladu se zákonem č. 526/1990. Sb., která j</w:t>
      </w:r>
      <w:r>
        <w:t>e nejvýše přípustná a činí: cena projektové dokumentace:</w:t>
      </w:r>
    </w:p>
    <w:p w:rsidR="00454BEE" w:rsidRDefault="005B05D8">
      <w:pPr>
        <w:numPr>
          <w:ilvl w:val="1"/>
          <w:numId w:val="2"/>
        </w:numPr>
        <w:ind w:right="2171" w:hanging="365"/>
      </w:pPr>
      <w:r>
        <w:t>Cena bez DPH</w:t>
      </w:r>
      <w:r>
        <w:tab/>
      </w:r>
      <w:r>
        <w:tab/>
      </w:r>
      <w:r>
        <w:tab/>
        <w:t>=    225 000,00 Kč</w:t>
      </w:r>
    </w:p>
    <w:p w:rsidR="00454BEE" w:rsidRPr="005B05D8" w:rsidRDefault="005B05D8">
      <w:pPr>
        <w:numPr>
          <w:ilvl w:val="1"/>
          <w:numId w:val="2"/>
        </w:numPr>
        <w:ind w:right="2171" w:hanging="365"/>
        <w:rPr>
          <w:u w:val="single"/>
        </w:rPr>
      </w:pPr>
      <w:r>
        <w:t>DPH</w:t>
      </w:r>
      <w:r>
        <w:tab/>
      </w:r>
      <w:r>
        <w:tab/>
      </w:r>
      <w:r>
        <w:tab/>
      </w:r>
      <w:r>
        <w:tab/>
      </w:r>
      <w:r>
        <w:tab/>
      </w:r>
      <w:r w:rsidRPr="005B05D8">
        <w:rPr>
          <w:u w:val="single"/>
        </w:rPr>
        <w:t>=      47 250,00 Kč</w:t>
      </w:r>
    </w:p>
    <w:p w:rsidR="00454BEE" w:rsidRDefault="005B05D8">
      <w:pPr>
        <w:numPr>
          <w:ilvl w:val="1"/>
          <w:numId w:val="2"/>
        </w:numPr>
        <w:spacing w:after="292"/>
        <w:ind w:right="2171" w:hanging="365"/>
      </w:pPr>
      <w:r>
        <w:t>Celková cena celkem</w:t>
      </w:r>
      <w:r>
        <w:tab/>
      </w:r>
      <w:r>
        <w:tab/>
        <w:t>=    272 250,00  Kč</w:t>
      </w:r>
    </w:p>
    <w:p w:rsidR="00454BEE" w:rsidRDefault="005B05D8">
      <w:pPr>
        <w:spacing w:after="827"/>
        <w:ind w:left="1167" w:right="993" w:hanging="423"/>
      </w:pPr>
      <w:r>
        <w:t xml:space="preserve">2. </w:t>
      </w:r>
      <w:r w:rsidRPr="005B05D8">
        <w:rPr>
          <w:b/>
        </w:rPr>
        <w:t>V ceně za dílo je zahrnutý počet požadovaných pare kompletní</w:t>
      </w:r>
      <w:r>
        <w:t xml:space="preserve"> dokumentace podle článku II. této smlouvy.</w:t>
      </w:r>
    </w:p>
    <w:p w:rsidR="00454BEE" w:rsidRDefault="005B05D8">
      <w:pPr>
        <w:spacing w:after="0" w:line="259" w:lineRule="auto"/>
        <w:ind w:left="1143" w:right="1498" w:hanging="10"/>
        <w:jc w:val="center"/>
      </w:pPr>
      <w:r>
        <w:rPr>
          <w:sz w:val="26"/>
        </w:rPr>
        <w:t>Způsob a místo předání</w:t>
      </w:r>
    </w:p>
    <w:p w:rsidR="00454BEE" w:rsidRDefault="005B05D8">
      <w:pPr>
        <w:spacing w:after="280"/>
        <w:ind w:left="1282" w:right="993" w:hanging="538"/>
      </w:pPr>
      <w:r>
        <w:rPr>
          <w:noProof/>
        </w:rPr>
        <w:t xml:space="preserve">1. </w:t>
      </w:r>
      <w:r>
        <w:t>Kompletní dílo bude osobně nebo poštou předáno pověřenému zástupci objednatele a to v rozsahu a termínu dohodnuté touto smlouvou.</w:t>
      </w:r>
    </w:p>
    <w:p w:rsidR="00454BEE" w:rsidRDefault="005B05D8">
      <w:pPr>
        <w:tabs>
          <w:tab w:val="center" w:pos="860"/>
          <w:tab w:val="center" w:pos="4125"/>
        </w:tabs>
        <w:ind w:left="0" w:right="0"/>
        <w:jc w:val="left"/>
      </w:pPr>
      <w:r>
        <w:tab/>
      </w:r>
      <w:r>
        <w:t>2.</w:t>
      </w:r>
      <w:r>
        <w:tab/>
        <w:t>Zhotovitel je oprávněn splnit dílo i před sjednanou dobou.</w:t>
      </w:r>
    </w:p>
    <w:p w:rsidR="005B05D8" w:rsidRDefault="005B05D8">
      <w:pPr>
        <w:tabs>
          <w:tab w:val="center" w:pos="860"/>
          <w:tab w:val="center" w:pos="4125"/>
        </w:tabs>
        <w:ind w:left="0" w:right="0"/>
        <w:jc w:val="left"/>
      </w:pPr>
    </w:p>
    <w:p w:rsidR="005B05D8" w:rsidRDefault="005B05D8">
      <w:pPr>
        <w:tabs>
          <w:tab w:val="center" w:pos="860"/>
          <w:tab w:val="center" w:pos="4125"/>
        </w:tabs>
        <w:ind w:left="0" w:right="0"/>
        <w:jc w:val="left"/>
      </w:pPr>
    </w:p>
    <w:p w:rsidR="005B05D8" w:rsidRDefault="005B05D8">
      <w:pPr>
        <w:tabs>
          <w:tab w:val="center" w:pos="860"/>
          <w:tab w:val="center" w:pos="4125"/>
        </w:tabs>
        <w:ind w:left="0" w:right="0"/>
        <w:jc w:val="left"/>
      </w:pPr>
    </w:p>
    <w:p w:rsidR="005B05D8" w:rsidRDefault="005B05D8">
      <w:pPr>
        <w:tabs>
          <w:tab w:val="center" w:pos="860"/>
          <w:tab w:val="center" w:pos="4125"/>
        </w:tabs>
        <w:ind w:left="0" w:right="0"/>
        <w:jc w:val="left"/>
      </w:pPr>
    </w:p>
    <w:p w:rsidR="00454BEE" w:rsidRDefault="005B05D8">
      <w:pPr>
        <w:spacing w:after="0" w:line="259" w:lineRule="auto"/>
        <w:ind w:left="0" w:right="403"/>
        <w:jc w:val="center"/>
      </w:pPr>
      <w:r>
        <w:rPr>
          <w:sz w:val="28"/>
        </w:rPr>
        <w:t>VI</w:t>
      </w:r>
      <w:r>
        <w:rPr>
          <w:sz w:val="28"/>
        </w:rPr>
        <w:t>.</w:t>
      </w:r>
    </w:p>
    <w:p w:rsidR="00454BEE" w:rsidRDefault="005B05D8">
      <w:pPr>
        <w:spacing w:after="0" w:line="259" w:lineRule="auto"/>
        <w:ind w:left="1143" w:right="1518" w:hanging="10"/>
        <w:jc w:val="center"/>
      </w:pPr>
      <w:r>
        <w:rPr>
          <w:sz w:val="26"/>
        </w:rPr>
        <w:t>Platební podmínky</w:t>
      </w:r>
    </w:p>
    <w:p w:rsidR="00454BEE" w:rsidRDefault="005B05D8">
      <w:pPr>
        <w:ind w:left="1282" w:right="993" w:hanging="538"/>
      </w:pPr>
      <w:r>
        <w:rPr>
          <w:noProof/>
        </w:rPr>
        <w:t xml:space="preserve">1. </w:t>
      </w:r>
      <w:r>
        <w:t>Objednatel se zavazuje zaplatit zhotoviteli cenu díla na základě faktury vystavené zhotovitelem po splnění předmětu smlouvy.</w:t>
      </w:r>
    </w:p>
    <w:p w:rsidR="00454BEE" w:rsidRDefault="005B05D8">
      <w:pPr>
        <w:spacing w:after="547"/>
        <w:ind w:left="1311" w:right="993" w:hanging="567"/>
      </w:pPr>
      <w:r>
        <w:t>2. Smluvní strany se dohodly na tom, že faktura je objednatelem splatná ve lhůtě splatnosti, která činí 30 kalendářních dnů ode dne</w:t>
      </w:r>
      <w:r>
        <w:t xml:space="preserve"> doručení faktury objednateli. Tento peněžitý závazek je splněn připsáním fakturované částky na účet zhotovitele.</w:t>
      </w:r>
    </w:p>
    <w:p w:rsidR="00454BEE" w:rsidRDefault="005B05D8">
      <w:pPr>
        <w:spacing w:after="0" w:line="259" w:lineRule="auto"/>
        <w:ind w:left="0" w:right="394"/>
        <w:jc w:val="center"/>
      </w:pPr>
      <w:r>
        <w:rPr>
          <w:sz w:val="34"/>
        </w:rPr>
        <w:t>VII.</w:t>
      </w:r>
    </w:p>
    <w:p w:rsidR="00454BEE" w:rsidRDefault="005B05D8">
      <w:pPr>
        <w:spacing w:after="0" w:line="259" w:lineRule="auto"/>
        <w:ind w:left="1143" w:right="1527" w:hanging="10"/>
        <w:jc w:val="center"/>
      </w:pPr>
      <w:r>
        <w:rPr>
          <w:sz w:val="26"/>
        </w:rPr>
        <w:t>Smluvní pokuty a záruční lhůta</w:t>
      </w:r>
    </w:p>
    <w:p w:rsidR="00454BEE" w:rsidRDefault="005B05D8" w:rsidP="005B05D8">
      <w:pPr>
        <w:pStyle w:val="Odstavecseseznamem"/>
        <w:numPr>
          <w:ilvl w:val="0"/>
          <w:numId w:val="3"/>
        </w:numPr>
        <w:ind w:right="993" w:hanging="601"/>
      </w:pPr>
      <w:r>
        <w:t>V případě, že zhotovitel nedodrží termín předání díla ve smluveném rozsahu, zavazuje se zaplatit objednat</w:t>
      </w:r>
      <w:r>
        <w:t>eli smluvní pokutu ve výši 0,05 % z ceny díla (bez DPH) za každý den prodlení, maximálně však 25 % z ceny díla.</w:t>
      </w:r>
    </w:p>
    <w:p w:rsidR="00454BEE" w:rsidRDefault="005B05D8">
      <w:pPr>
        <w:numPr>
          <w:ilvl w:val="0"/>
          <w:numId w:val="3"/>
        </w:numPr>
        <w:spacing w:after="39"/>
        <w:ind w:left="1311" w:right="993" w:hanging="567"/>
      </w:pPr>
      <w:r>
        <w:t>P</w:t>
      </w:r>
      <w:r>
        <w:t>ři prodlení s úhradou peněžitého plnění dle této smlouvy je objednatel povinen zaplatit zhotoviteli smluvní pokutu ve výši 0,05 % z dlužné část</w:t>
      </w:r>
      <w:r>
        <w:t>ky bez DPH od data splatnosti faktury za každý den prodlení do zaplacení. Zaplacením smluvní pokuty není dotčeno právo zhotovitele na náhradu škody.</w:t>
      </w:r>
    </w:p>
    <w:p w:rsidR="00454BEE" w:rsidRDefault="005B05D8">
      <w:pPr>
        <w:numPr>
          <w:ilvl w:val="0"/>
          <w:numId w:val="3"/>
        </w:numPr>
        <w:ind w:left="1311" w:right="993" w:hanging="567"/>
      </w:pPr>
      <w:r>
        <w:t>V případě, že zhotovitel předá dílo s vadami, zjištěnými při převzetí, nebo při jeho následné prohlídce, uskutečněné však nejdéle do jednoho měsíce od okamžiku převzetí předmětu díla, nebo dílo neúplné, zavazuje se zaplatit objednateli smluvní pokutu ve vý</w:t>
      </w:r>
      <w:r>
        <w:t>ši 0,05 % z celkové ceny díla (bez DPH) za každý den od předání díla až do odstranění vad díla nebo do jeho zkompletování.</w:t>
      </w:r>
    </w:p>
    <w:p w:rsidR="00454BEE" w:rsidRDefault="005B05D8">
      <w:pPr>
        <w:numPr>
          <w:ilvl w:val="0"/>
          <w:numId w:val="3"/>
        </w:numPr>
        <w:ind w:left="1311" w:right="993" w:hanging="567"/>
      </w:pPr>
      <w:r>
        <w:t>Za vady díla, které nebylo možno zjistit při převzetí díla, nebo při prohlídce po jeho předání, tedy tzv. skryté vady, odpovídá zhoto</w:t>
      </w:r>
      <w:r>
        <w:t>vitel do doby nabytí právní moci územního rozhodnutí.</w:t>
      </w:r>
    </w:p>
    <w:p w:rsidR="00454BEE" w:rsidRDefault="005B05D8">
      <w:pPr>
        <w:numPr>
          <w:ilvl w:val="0"/>
          <w:numId w:val="3"/>
        </w:numPr>
        <w:spacing w:after="542"/>
        <w:ind w:left="1311" w:right="993" w:hanging="567"/>
      </w:pPr>
      <w:r>
        <w:t>Zhotovitel se zavazuje po dobu trvání záruční lhůty odstranit na své náklady veškeré tzv. skryté vady díla ve lhůtě nejpozději do 14 dnů od okamžiku, kdy se obě strany o vadě díla dohodnou. V případě, že zhotovitel nedodrží termín odstranění skrytých vad d</w:t>
      </w:r>
      <w:r>
        <w:t>íla, zavazuje se zaplatit objednateli smluvní pokutu ve výši 0,05% z ceny díla (bez DPH) za každý den prodlení po uplynutí této lhůty 14ti dnů do dne odstranění těchto skrytých vad.</w:t>
      </w:r>
    </w:p>
    <w:p w:rsidR="00454BEE" w:rsidRDefault="005B05D8">
      <w:pPr>
        <w:spacing w:after="0" w:line="259" w:lineRule="auto"/>
        <w:ind w:left="0" w:right="403"/>
        <w:jc w:val="center"/>
      </w:pPr>
      <w:r>
        <w:rPr>
          <w:sz w:val="30"/>
        </w:rPr>
        <w:t>MII.</w:t>
      </w:r>
    </w:p>
    <w:p w:rsidR="00454BEE" w:rsidRDefault="005B05D8">
      <w:pPr>
        <w:spacing w:after="0" w:line="259" w:lineRule="auto"/>
        <w:ind w:left="1143" w:right="1518" w:hanging="10"/>
        <w:jc w:val="center"/>
      </w:pPr>
      <w:r>
        <w:rPr>
          <w:sz w:val="26"/>
        </w:rPr>
        <w:t>Další ujednání</w:t>
      </w:r>
    </w:p>
    <w:p w:rsidR="00454BEE" w:rsidRDefault="005B05D8">
      <w:pPr>
        <w:numPr>
          <w:ilvl w:val="0"/>
          <w:numId w:val="4"/>
        </w:numPr>
        <w:ind w:right="993" w:hanging="557"/>
      </w:pPr>
      <w:r>
        <w:t>Vlastnické právo přechází na objednatele převzetím pře</w:t>
      </w:r>
      <w:r>
        <w:t>dmětu díla.</w:t>
      </w:r>
    </w:p>
    <w:p w:rsidR="00454BEE" w:rsidRDefault="005B05D8">
      <w:pPr>
        <w:numPr>
          <w:ilvl w:val="0"/>
          <w:numId w:val="4"/>
        </w:numPr>
        <w:spacing w:after="530"/>
        <w:ind w:right="993" w:hanging="557"/>
      </w:pPr>
      <w:r>
        <w:t>Zhotovitel bude informovat objednatele o stavu rozpracovaného projektu a inženýrské činnosti.</w:t>
      </w:r>
    </w:p>
    <w:p w:rsidR="00454BEE" w:rsidRDefault="005B05D8">
      <w:pPr>
        <w:spacing w:after="0" w:line="259" w:lineRule="auto"/>
        <w:ind w:left="1143" w:right="1546" w:hanging="10"/>
        <w:jc w:val="center"/>
      </w:pPr>
      <w:r>
        <w:rPr>
          <w:sz w:val="26"/>
        </w:rPr>
        <w:t>IX.</w:t>
      </w:r>
    </w:p>
    <w:p w:rsidR="00454BEE" w:rsidRDefault="005B05D8">
      <w:pPr>
        <w:spacing w:after="0" w:line="259" w:lineRule="auto"/>
        <w:ind w:left="1143" w:right="1537" w:hanging="10"/>
        <w:jc w:val="center"/>
      </w:pPr>
      <w:r>
        <w:rPr>
          <w:sz w:val="26"/>
        </w:rPr>
        <w:t>Závěrečná ustanovení</w:t>
      </w:r>
    </w:p>
    <w:p w:rsidR="00454BEE" w:rsidRDefault="005B05D8">
      <w:pPr>
        <w:numPr>
          <w:ilvl w:val="0"/>
          <w:numId w:val="5"/>
        </w:numPr>
        <w:ind w:right="993" w:hanging="586"/>
      </w:pPr>
      <w:r>
        <w:t>Smluvní strany se dohodly, že případné spory vzniklé ze závazků sjednaných touto smlouvou budou řešit vzájemným jednáním.</w:t>
      </w:r>
    </w:p>
    <w:p w:rsidR="00454BEE" w:rsidRDefault="005B05D8">
      <w:pPr>
        <w:numPr>
          <w:ilvl w:val="0"/>
          <w:numId w:val="5"/>
        </w:numPr>
        <w:ind w:right="993" w:hanging="586"/>
      </w:pPr>
      <w:r>
        <w:t xml:space="preserve">Ve </w:t>
      </w:r>
      <w:r>
        <w:t>věcech touto smlouvou neupravených se smluvní vztah řídí občanským zákoníkem.</w:t>
      </w:r>
    </w:p>
    <w:p w:rsidR="00454BEE" w:rsidRDefault="005B05D8">
      <w:pPr>
        <w:numPr>
          <w:ilvl w:val="0"/>
          <w:numId w:val="5"/>
        </w:numPr>
        <w:ind w:right="993" w:hanging="586"/>
      </w:pPr>
      <w:r>
        <w:t xml:space="preserve">Tuto smlouvu lze měnit jen vzájemnou dohodou smluvních stran, a to pouze písemnou </w:t>
      </w:r>
      <w:r>
        <w:t>formou.</w:t>
      </w:r>
    </w:p>
    <w:p w:rsidR="00454BEE" w:rsidRDefault="005B05D8">
      <w:pPr>
        <w:numPr>
          <w:ilvl w:val="0"/>
          <w:numId w:val="5"/>
        </w:numPr>
        <w:spacing w:after="43"/>
        <w:ind w:right="993" w:hanging="586"/>
      </w:pPr>
      <w:r>
        <w:lastRenderedPageBreak/>
        <w:t>Tato smlouva se sepisuje ve čtyřech vyhotoveních, z nichž smluvní strana — objednatel</w:t>
      </w:r>
      <w:r>
        <w:t>obdrží dva výtisky a smluvní strana — zhotovitel obdrží dva výtisky.</w:t>
      </w:r>
    </w:p>
    <w:p w:rsidR="00454BEE" w:rsidRDefault="005B05D8">
      <w:pPr>
        <w:numPr>
          <w:ilvl w:val="0"/>
          <w:numId w:val="5"/>
        </w:numPr>
        <w:spacing w:after="38"/>
        <w:ind w:right="993" w:hanging="586"/>
      </w:pPr>
      <w:r>
        <w:t>Smluvní strany prohlašují, že toto je jejich svobodná, pravá a vážně míněná vůle uzavřít obchodní smlouvu s výše uvedeným obsahem. Na důkaz toho připojují oprávnění zástupci smluvních stran své podpisy.</w:t>
      </w:r>
    </w:p>
    <w:p w:rsidR="00454BEE" w:rsidRDefault="005B05D8">
      <w:pPr>
        <w:numPr>
          <w:ilvl w:val="0"/>
          <w:numId w:val="5"/>
        </w:numPr>
        <w:ind w:right="993" w:hanging="586"/>
      </w:pPr>
      <w:r>
        <w:t>Tato smlouva má celkem 4 strany.</w:t>
      </w:r>
    </w:p>
    <w:p w:rsidR="00454BEE" w:rsidRDefault="005B05D8">
      <w:pPr>
        <w:numPr>
          <w:ilvl w:val="0"/>
          <w:numId w:val="5"/>
        </w:numPr>
        <w:ind w:right="993" w:hanging="586"/>
      </w:pPr>
      <w:r>
        <w:t>Tato smlouva vstupuj</w:t>
      </w:r>
      <w:r>
        <w:t>e v platnost dnem podpisu oběma smluvními stranami.</w:t>
      </w:r>
    </w:p>
    <w:p w:rsidR="00454BEE" w:rsidRDefault="005B05D8">
      <w:pPr>
        <w:numPr>
          <w:ilvl w:val="0"/>
          <w:numId w:val="5"/>
        </w:numPr>
        <w:spacing w:after="594"/>
        <w:ind w:right="993" w:hanging="586"/>
      </w:pPr>
      <w:r>
        <w:t>Nedílnou součástí smlouvy je cenová kalkulace zhotovitele.</w:t>
      </w:r>
    </w:p>
    <w:p w:rsidR="00454BEE" w:rsidRDefault="005B05D8">
      <w:pPr>
        <w:spacing w:line="505" w:lineRule="auto"/>
        <w:ind w:left="811" w:right="2497" w:hanging="67"/>
      </w:pPr>
      <w:r>
        <w:t>V Plzni dne  01-04-2016</w:t>
      </w:r>
      <w:bookmarkStart w:id="0" w:name="_GoBack"/>
      <w:bookmarkEnd w:id="0"/>
      <w:r>
        <w:t xml:space="preserve">                                               </w:t>
      </w:r>
      <w:r>
        <w:t xml:space="preserve">V Praze dne 31. 3. 2016 </w:t>
      </w:r>
    </w:p>
    <w:p w:rsidR="00454BEE" w:rsidRDefault="00454BEE">
      <w:pPr>
        <w:spacing w:after="0" w:line="259" w:lineRule="auto"/>
        <w:ind w:left="711" w:right="0"/>
        <w:jc w:val="left"/>
      </w:pPr>
    </w:p>
    <w:p w:rsidR="00454BEE" w:rsidRDefault="005B05D8" w:rsidP="005B05D8">
      <w:pPr>
        <w:tabs>
          <w:tab w:val="center" w:pos="1738"/>
          <w:tab w:val="center" w:pos="6925"/>
        </w:tabs>
        <w:spacing w:after="0" w:line="259" w:lineRule="auto"/>
        <w:ind w:left="0" w:right="0"/>
        <w:jc w:val="left"/>
      </w:pPr>
      <w:r>
        <w:rPr>
          <w:sz w:val="26"/>
        </w:rPr>
        <w:tab/>
      </w:r>
    </w:p>
    <w:p w:rsidR="00454BEE" w:rsidRDefault="00454BEE">
      <w:pPr>
        <w:spacing w:after="0" w:line="259" w:lineRule="auto"/>
        <w:ind w:left="5580" w:right="0"/>
        <w:jc w:val="left"/>
      </w:pPr>
    </w:p>
    <w:sectPr w:rsidR="00454BEE">
      <w:footerReference w:type="even" r:id="rId14"/>
      <w:footerReference w:type="default" r:id="rId15"/>
      <w:footerReference w:type="first" r:id="rId16"/>
      <w:pgSz w:w="11900" w:h="16820"/>
      <w:pgMar w:top="816" w:right="163" w:bottom="259" w:left="10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05D8">
      <w:pPr>
        <w:spacing w:after="0" w:line="240" w:lineRule="auto"/>
      </w:pPr>
      <w:r>
        <w:separator/>
      </w:r>
    </w:p>
  </w:endnote>
  <w:endnote w:type="continuationSeparator" w:id="0">
    <w:p w:rsidR="00000000" w:rsidRDefault="005B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EE" w:rsidRDefault="005B05D8">
    <w:pPr>
      <w:spacing w:after="0" w:line="259" w:lineRule="auto"/>
      <w:ind w:left="0" w:right="3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EE" w:rsidRDefault="005B05D8">
    <w:pPr>
      <w:spacing w:after="0" w:line="259" w:lineRule="auto"/>
      <w:ind w:left="0" w:right="3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EE" w:rsidRDefault="00454BEE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05D8">
      <w:pPr>
        <w:spacing w:after="0" w:line="240" w:lineRule="auto"/>
      </w:pPr>
      <w:r>
        <w:separator/>
      </w:r>
    </w:p>
  </w:footnote>
  <w:footnote w:type="continuationSeparator" w:id="0">
    <w:p w:rsidR="00000000" w:rsidRDefault="005B0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472" o:spid="_x0000_i1026" style="width:.8pt;height:.8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DD83C52"/>
    <w:multiLevelType w:val="hybridMultilevel"/>
    <w:tmpl w:val="AF0013FE"/>
    <w:lvl w:ilvl="0" w:tplc="53ECF2CC">
      <w:start w:val="2"/>
      <w:numFmt w:val="decimal"/>
      <w:lvlText w:val="%1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41E50">
      <w:start w:val="1"/>
      <w:numFmt w:val="bullet"/>
      <w:lvlText w:val="•"/>
      <w:lvlPicBulletId w:val="0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8AE8E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E5062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4545A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29224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8CBA6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E0594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0583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97D20"/>
    <w:multiLevelType w:val="hybridMultilevel"/>
    <w:tmpl w:val="977044CE"/>
    <w:lvl w:ilvl="0" w:tplc="1A988B7E">
      <w:start w:val="1"/>
      <w:numFmt w:val="decimal"/>
      <w:lvlText w:val="%1.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A5B9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F77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231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693E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2BE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8095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25B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8EDC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CC0D8A"/>
    <w:multiLevelType w:val="hybridMultilevel"/>
    <w:tmpl w:val="109C8CF6"/>
    <w:lvl w:ilvl="0" w:tplc="4EE8A0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EBC8C">
      <w:start w:val="1"/>
      <w:numFmt w:val="lowerLetter"/>
      <w:lvlText w:val="%2)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89CB8">
      <w:start w:val="1"/>
      <w:numFmt w:val="lowerRoman"/>
      <w:lvlText w:val="%3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E9E56">
      <w:start w:val="1"/>
      <w:numFmt w:val="decimal"/>
      <w:lvlText w:val="%4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A31C8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E1E7A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25CA0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26836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EB7A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DD3964"/>
    <w:multiLevelType w:val="hybridMultilevel"/>
    <w:tmpl w:val="E558E26A"/>
    <w:lvl w:ilvl="0" w:tplc="916A074E">
      <w:start w:val="1"/>
      <w:numFmt w:val="decimal"/>
      <w:lvlText w:val="%1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68343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6CF796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2627A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F2A5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7C3A8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B0878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7A2D2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0ACF4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581675"/>
    <w:multiLevelType w:val="hybridMultilevel"/>
    <w:tmpl w:val="66BEF76C"/>
    <w:lvl w:ilvl="0" w:tplc="963A9B8A">
      <w:start w:val="1"/>
      <w:numFmt w:val="decimal"/>
      <w:lvlText w:val="%1.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641B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2E65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34DE5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4090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E3F8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E6CB6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6D5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34A4C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E"/>
    <w:rsid w:val="00454BEE"/>
    <w:rsid w:val="005B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027C7"/>
  <w15:docId w15:val="{BE3B09F9-0E0B-405E-A116-57E1ACC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48" w:lineRule="auto"/>
      <w:ind w:left="1172" w:right="10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B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2017-01-19T10:28:00Z</dcterms:created>
  <dcterms:modified xsi:type="dcterms:W3CDTF">2017-01-19T10:28:00Z</dcterms:modified>
</cp:coreProperties>
</file>