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B30" w:rsidRDefault="00DB6B30" w:rsidP="00DB6B30">
      <w:pPr>
        <w:spacing w:after="0" w:line="240" w:lineRule="auto"/>
        <w:jc w:val="center"/>
        <w:rPr>
          <w:rFonts w:ascii="Arial" w:hAnsi="Arial" w:cs="Arial"/>
          <w:b/>
          <w:sz w:val="24"/>
          <w:szCs w:val="24"/>
        </w:rPr>
      </w:pPr>
      <w:r>
        <w:rPr>
          <w:rFonts w:ascii="Arial" w:hAnsi="Arial" w:cs="Arial"/>
          <w:b/>
          <w:sz w:val="24"/>
          <w:szCs w:val="24"/>
        </w:rPr>
        <w:t xml:space="preserve">VEŘEJNOPRÁVNÍ SMLOUVA </w:t>
      </w:r>
    </w:p>
    <w:p w:rsidR="00DB6B30" w:rsidRDefault="00DB6B30" w:rsidP="00DB6B30">
      <w:pPr>
        <w:spacing w:after="0" w:line="240" w:lineRule="auto"/>
        <w:jc w:val="center"/>
        <w:rPr>
          <w:rFonts w:ascii="Arial" w:hAnsi="Arial" w:cs="Arial"/>
          <w:b/>
          <w:sz w:val="24"/>
          <w:szCs w:val="24"/>
        </w:rPr>
      </w:pPr>
      <w:r>
        <w:rPr>
          <w:rFonts w:ascii="Arial" w:hAnsi="Arial" w:cs="Arial"/>
          <w:b/>
          <w:sz w:val="24"/>
          <w:szCs w:val="24"/>
        </w:rPr>
        <w:t>O POSKYTNUTÍ NEINVESTIČNÍ DOTACE č. KT/</w:t>
      </w:r>
      <w:r w:rsidR="007865CA">
        <w:rPr>
          <w:rFonts w:ascii="Arial" w:hAnsi="Arial" w:cs="Arial"/>
          <w:b/>
          <w:sz w:val="24"/>
          <w:szCs w:val="24"/>
        </w:rPr>
        <w:t>9007/16</w:t>
      </w:r>
    </w:p>
    <w:p w:rsidR="00DB6B30" w:rsidRDefault="00DB6B30" w:rsidP="00DB6B30">
      <w:pPr>
        <w:pBdr>
          <w:bottom w:val="single" w:sz="6" w:space="1" w:color="000000"/>
        </w:pBdr>
        <w:spacing w:after="0" w:line="240" w:lineRule="auto"/>
        <w:jc w:val="center"/>
        <w:rPr>
          <w:rFonts w:ascii="Arial" w:hAnsi="Arial" w:cs="Arial"/>
          <w:b/>
          <w:sz w:val="10"/>
          <w:szCs w:val="10"/>
        </w:rPr>
      </w:pPr>
    </w:p>
    <w:p w:rsidR="00DB6B30" w:rsidRDefault="00DB6B30" w:rsidP="00DB6B30">
      <w:pPr>
        <w:spacing w:after="0" w:line="240" w:lineRule="auto"/>
        <w:jc w:val="center"/>
        <w:rPr>
          <w:rFonts w:ascii="Arial" w:hAnsi="Arial" w:cs="Arial"/>
          <w:sz w:val="16"/>
          <w:szCs w:val="16"/>
        </w:rPr>
      </w:pPr>
    </w:p>
    <w:p w:rsidR="00DB6B30" w:rsidRDefault="00DB6B30" w:rsidP="00DB6B30">
      <w:pPr>
        <w:spacing w:after="0" w:line="240" w:lineRule="auto"/>
        <w:jc w:val="center"/>
        <w:rPr>
          <w:rFonts w:ascii="Arial" w:hAnsi="Arial" w:cs="Arial"/>
          <w:sz w:val="16"/>
          <w:szCs w:val="16"/>
        </w:rPr>
      </w:pPr>
      <w:r>
        <w:rPr>
          <w:rFonts w:ascii="Arial" w:hAnsi="Arial" w:cs="Arial"/>
          <w:sz w:val="16"/>
          <w:szCs w:val="16"/>
        </w:rPr>
        <w:t xml:space="preserve">uzavřená v souladu s ustanovením § 10a a násl. </w:t>
      </w:r>
      <w:proofErr w:type="spellStart"/>
      <w:proofErr w:type="gramStart"/>
      <w:r>
        <w:rPr>
          <w:rFonts w:ascii="Arial" w:hAnsi="Arial" w:cs="Arial"/>
          <w:sz w:val="16"/>
          <w:szCs w:val="16"/>
        </w:rPr>
        <w:t>zák.č</w:t>
      </w:r>
      <w:proofErr w:type="spellEnd"/>
      <w:r>
        <w:rPr>
          <w:rFonts w:ascii="Arial" w:hAnsi="Arial" w:cs="Arial"/>
          <w:sz w:val="16"/>
          <w:szCs w:val="16"/>
        </w:rPr>
        <w:t>.</w:t>
      </w:r>
      <w:proofErr w:type="gramEnd"/>
      <w:r>
        <w:rPr>
          <w:rFonts w:ascii="Arial" w:hAnsi="Arial" w:cs="Arial"/>
          <w:sz w:val="16"/>
          <w:szCs w:val="16"/>
        </w:rPr>
        <w:t xml:space="preserve"> 250/2000 Sb., o rozpočtových pravidlech územních rozpočtů, v platném znění (dále jen ZORP) níže uvedeného dne, měsíce a roku, mezi těmito smluvními stranami:</w:t>
      </w:r>
    </w:p>
    <w:p w:rsidR="00DB6B30" w:rsidRDefault="00DB6B30" w:rsidP="00DB6B30">
      <w:pPr>
        <w:spacing w:after="0" w:line="240" w:lineRule="auto"/>
        <w:jc w:val="center"/>
        <w:rPr>
          <w:rFonts w:ascii="Arial" w:hAnsi="Arial" w:cs="Arial"/>
        </w:rPr>
      </w:pPr>
    </w:p>
    <w:p w:rsidR="00DB6B30" w:rsidRDefault="00DB6B30" w:rsidP="00DB6B30">
      <w:pPr>
        <w:spacing w:after="0" w:line="240" w:lineRule="auto"/>
        <w:jc w:val="center"/>
        <w:rPr>
          <w:rFonts w:ascii="Arial" w:hAnsi="Arial" w:cs="Arial"/>
          <w:b/>
          <w:bCs/>
        </w:rPr>
      </w:pPr>
    </w:p>
    <w:p w:rsidR="00DB6B30" w:rsidRDefault="00DB6B30" w:rsidP="00DB6B30">
      <w:pPr>
        <w:spacing w:after="0" w:line="240" w:lineRule="auto"/>
        <w:rPr>
          <w:rFonts w:ascii="Arial" w:hAnsi="Arial" w:cs="Arial"/>
          <w:b/>
        </w:rPr>
      </w:pPr>
      <w:r>
        <w:rPr>
          <w:rFonts w:ascii="Arial" w:hAnsi="Arial" w:cs="Arial"/>
          <w:b/>
        </w:rPr>
        <w:t>1. Město Litvínov</w:t>
      </w:r>
    </w:p>
    <w:p w:rsidR="00DB6B30" w:rsidRDefault="00DB6B30" w:rsidP="00DB6B30">
      <w:pPr>
        <w:spacing w:after="0" w:line="240" w:lineRule="auto"/>
        <w:rPr>
          <w:rFonts w:ascii="Arial" w:hAnsi="Arial" w:cs="Arial"/>
        </w:rPr>
      </w:pPr>
      <w:r>
        <w:rPr>
          <w:rFonts w:ascii="Arial" w:hAnsi="Arial" w:cs="Arial"/>
        </w:rPr>
        <w:t>Zastoupené:</w:t>
      </w:r>
      <w:r>
        <w:rPr>
          <w:rFonts w:ascii="Arial" w:hAnsi="Arial" w:cs="Arial"/>
        </w:rPr>
        <w:tab/>
      </w:r>
      <w:r>
        <w:rPr>
          <w:rFonts w:ascii="Arial" w:hAnsi="Arial" w:cs="Arial"/>
        </w:rPr>
        <w:tab/>
      </w:r>
      <w:r>
        <w:rPr>
          <w:rFonts w:ascii="Arial" w:hAnsi="Arial" w:cs="Arial"/>
        </w:rPr>
        <w:tab/>
        <w:t>Mgr. Kamilou Bláhovou, starostkou města</w:t>
      </w:r>
    </w:p>
    <w:p w:rsidR="00DB6B30" w:rsidRDefault="00DB6B30" w:rsidP="00DB6B30">
      <w:pPr>
        <w:spacing w:after="0" w:line="240" w:lineRule="auto"/>
        <w:rPr>
          <w:rFonts w:ascii="Arial" w:hAnsi="Arial" w:cs="Arial"/>
        </w:rPr>
      </w:pPr>
      <w:r>
        <w:rPr>
          <w:rFonts w:ascii="Arial" w:hAnsi="Arial" w:cs="Arial"/>
        </w:rPr>
        <w:t>Sídlo:</w:t>
      </w:r>
      <w:r>
        <w:rPr>
          <w:rFonts w:ascii="Arial" w:hAnsi="Arial" w:cs="Arial"/>
        </w:rPr>
        <w:tab/>
      </w:r>
      <w:r>
        <w:rPr>
          <w:rFonts w:ascii="Arial" w:hAnsi="Arial" w:cs="Arial"/>
        </w:rPr>
        <w:tab/>
      </w:r>
      <w:r>
        <w:rPr>
          <w:rFonts w:ascii="Arial" w:hAnsi="Arial" w:cs="Arial"/>
        </w:rPr>
        <w:tab/>
      </w:r>
      <w:r>
        <w:rPr>
          <w:rFonts w:ascii="Arial" w:hAnsi="Arial" w:cs="Arial"/>
        </w:rPr>
        <w:tab/>
        <w:t>Městský úřad Litvínov, 436 01 Litvínov, náměstí Míru 11</w:t>
      </w:r>
    </w:p>
    <w:p w:rsidR="00DB6B30" w:rsidRDefault="00DB6B30" w:rsidP="00DB6B30">
      <w:pPr>
        <w:spacing w:after="0" w:line="240" w:lineRule="auto"/>
        <w:rPr>
          <w:rFonts w:ascii="Arial" w:hAnsi="Arial" w:cs="Arial"/>
        </w:rPr>
      </w:pPr>
      <w:r>
        <w:rPr>
          <w:rFonts w:ascii="Arial" w:hAnsi="Arial" w:cs="Arial"/>
        </w:rPr>
        <w:t>IČ:</w:t>
      </w:r>
      <w:r>
        <w:rPr>
          <w:rFonts w:ascii="Arial" w:hAnsi="Arial" w:cs="Arial"/>
        </w:rPr>
        <w:tab/>
      </w:r>
      <w:r>
        <w:rPr>
          <w:rFonts w:ascii="Arial" w:hAnsi="Arial" w:cs="Arial"/>
        </w:rPr>
        <w:tab/>
      </w:r>
      <w:r>
        <w:rPr>
          <w:rFonts w:ascii="Arial" w:hAnsi="Arial" w:cs="Arial"/>
        </w:rPr>
        <w:tab/>
      </w:r>
      <w:r>
        <w:rPr>
          <w:rFonts w:ascii="Arial" w:hAnsi="Arial" w:cs="Arial"/>
        </w:rPr>
        <w:tab/>
        <w:t>00266027</w:t>
      </w:r>
    </w:p>
    <w:p w:rsidR="00DB6B30" w:rsidRDefault="00DB6B30" w:rsidP="00DB6B30">
      <w:pPr>
        <w:spacing w:after="0" w:line="240" w:lineRule="auto"/>
        <w:rPr>
          <w:rFonts w:ascii="Arial" w:hAnsi="Arial" w:cs="Arial"/>
        </w:rPr>
      </w:pPr>
      <w:r>
        <w:rPr>
          <w:rFonts w:ascii="Arial" w:hAnsi="Arial" w:cs="Arial"/>
        </w:rPr>
        <w:t>DIČ:</w:t>
      </w:r>
      <w:r>
        <w:rPr>
          <w:rFonts w:ascii="Arial" w:hAnsi="Arial" w:cs="Arial"/>
        </w:rPr>
        <w:tab/>
      </w:r>
      <w:r>
        <w:rPr>
          <w:rFonts w:ascii="Arial" w:hAnsi="Arial" w:cs="Arial"/>
        </w:rPr>
        <w:tab/>
      </w:r>
      <w:r>
        <w:rPr>
          <w:rFonts w:ascii="Arial" w:hAnsi="Arial" w:cs="Arial"/>
        </w:rPr>
        <w:tab/>
      </w:r>
      <w:r>
        <w:rPr>
          <w:rFonts w:ascii="Arial" w:hAnsi="Arial" w:cs="Arial"/>
        </w:rPr>
        <w:tab/>
        <w:t>CZ000266027</w:t>
      </w:r>
    </w:p>
    <w:p w:rsidR="00DB6B30" w:rsidRDefault="00DB6B30" w:rsidP="00DB6B30">
      <w:pPr>
        <w:spacing w:after="0" w:line="240" w:lineRule="auto"/>
        <w:ind w:left="2832" w:hanging="2832"/>
        <w:rPr>
          <w:rFonts w:ascii="Arial" w:hAnsi="Arial" w:cs="Arial"/>
        </w:rPr>
      </w:pPr>
      <w:r>
        <w:rPr>
          <w:rFonts w:ascii="Arial" w:hAnsi="Arial" w:cs="Arial"/>
        </w:rPr>
        <w:t>bankovní spojení:</w:t>
      </w:r>
      <w:r>
        <w:rPr>
          <w:rFonts w:ascii="Arial" w:hAnsi="Arial" w:cs="Arial"/>
        </w:rPr>
        <w:tab/>
        <w:t>Komerční banka, a.s., expozitura Litvínov</w:t>
      </w:r>
    </w:p>
    <w:p w:rsidR="00DB6B30" w:rsidRDefault="00DB6B30" w:rsidP="00DB6B30">
      <w:pPr>
        <w:spacing w:after="0" w:line="240" w:lineRule="auto"/>
        <w:rPr>
          <w:rFonts w:ascii="Arial" w:hAnsi="Arial" w:cs="Arial"/>
        </w:rPr>
      </w:pPr>
      <w:r>
        <w:rPr>
          <w:rFonts w:ascii="Arial" w:hAnsi="Arial" w:cs="Arial"/>
        </w:rPr>
        <w:t>č. účtu:</w:t>
      </w:r>
      <w:r>
        <w:rPr>
          <w:rFonts w:ascii="Arial" w:hAnsi="Arial" w:cs="Arial"/>
        </w:rPr>
        <w:tab/>
      </w:r>
      <w:r>
        <w:rPr>
          <w:rFonts w:ascii="Arial" w:hAnsi="Arial" w:cs="Arial"/>
        </w:rPr>
        <w:tab/>
      </w:r>
      <w:r>
        <w:rPr>
          <w:rFonts w:ascii="Arial" w:hAnsi="Arial" w:cs="Arial"/>
        </w:rPr>
        <w:tab/>
        <w:t>90050001326491/0100</w:t>
      </w:r>
    </w:p>
    <w:p w:rsidR="00DB6B30" w:rsidRDefault="00DB6B30" w:rsidP="00DB6B30">
      <w:pPr>
        <w:spacing w:after="0" w:line="240" w:lineRule="auto"/>
      </w:pPr>
      <w:r>
        <w:rPr>
          <w:rFonts w:ascii="Arial" w:hAnsi="Arial" w:cs="Arial"/>
        </w:rPr>
        <w:t>(dále také jako „</w:t>
      </w:r>
      <w:r>
        <w:rPr>
          <w:rFonts w:ascii="Arial" w:hAnsi="Arial" w:cs="Arial"/>
          <w:i/>
        </w:rPr>
        <w:t>poskytovatel</w:t>
      </w:r>
      <w:r>
        <w:rPr>
          <w:rFonts w:ascii="Arial" w:hAnsi="Arial" w:cs="Arial"/>
        </w:rPr>
        <w:t>“)</w:t>
      </w:r>
    </w:p>
    <w:p w:rsidR="00DB6B30" w:rsidRDefault="00DB6B30" w:rsidP="00DB6B30">
      <w:pPr>
        <w:spacing w:after="0" w:line="240" w:lineRule="auto"/>
        <w:jc w:val="both"/>
        <w:rPr>
          <w:rFonts w:ascii="Arial" w:hAnsi="Arial" w:cs="Arial"/>
        </w:rPr>
      </w:pPr>
    </w:p>
    <w:p w:rsidR="00DB6B30" w:rsidRDefault="00DB6B30" w:rsidP="00DB6B30">
      <w:pPr>
        <w:spacing w:after="0" w:line="240" w:lineRule="auto"/>
        <w:jc w:val="center"/>
        <w:rPr>
          <w:rFonts w:ascii="Arial" w:hAnsi="Arial" w:cs="Arial"/>
        </w:rPr>
      </w:pPr>
    </w:p>
    <w:p w:rsidR="00DB6B30" w:rsidRPr="00E459AE" w:rsidRDefault="00DB6B30" w:rsidP="00DB6B30">
      <w:pPr>
        <w:spacing w:after="0" w:line="240" w:lineRule="auto"/>
        <w:jc w:val="both"/>
        <w:rPr>
          <w:rFonts w:ascii="Arial" w:hAnsi="Arial" w:cs="Arial"/>
          <w:b/>
          <w:bCs/>
        </w:rPr>
      </w:pPr>
      <w:r>
        <w:rPr>
          <w:rFonts w:ascii="Arial" w:hAnsi="Arial" w:cs="Arial"/>
          <w:b/>
          <w:bCs/>
        </w:rPr>
        <w:t>2.</w:t>
      </w:r>
      <w:r w:rsidRPr="009B53A6">
        <w:rPr>
          <w:rFonts w:ascii="Arial" w:hAnsi="Arial" w:cs="Arial"/>
        </w:rPr>
        <w:t xml:space="preserve"> </w:t>
      </w:r>
      <w:r>
        <w:rPr>
          <w:rFonts w:ascii="Arial" w:hAnsi="Arial" w:cs="Arial"/>
          <w:b/>
        </w:rPr>
        <w:t>Dětské sdružení Čtyřlístek</w:t>
      </w:r>
    </w:p>
    <w:p w:rsidR="00DB6B30" w:rsidRDefault="00DB6B30" w:rsidP="00DB6B30">
      <w:pPr>
        <w:spacing w:after="0" w:line="240" w:lineRule="auto"/>
        <w:jc w:val="both"/>
        <w:rPr>
          <w:rFonts w:ascii="Arial" w:hAnsi="Arial" w:cs="Arial"/>
        </w:rPr>
      </w:pPr>
      <w:r>
        <w:rPr>
          <w:rFonts w:ascii="Arial" w:hAnsi="Arial" w:cs="Arial"/>
        </w:rPr>
        <w:t>zastoupená:</w:t>
      </w:r>
      <w:r>
        <w:rPr>
          <w:rFonts w:ascii="Arial" w:hAnsi="Arial" w:cs="Arial"/>
        </w:rPr>
        <w:tab/>
      </w:r>
      <w:r>
        <w:rPr>
          <w:rFonts w:ascii="Arial" w:hAnsi="Arial" w:cs="Arial"/>
        </w:rPr>
        <w:tab/>
      </w:r>
      <w:r>
        <w:rPr>
          <w:rFonts w:ascii="Arial" w:hAnsi="Arial" w:cs="Arial"/>
        </w:rPr>
        <w:tab/>
        <w:t xml:space="preserve">Petrem </w:t>
      </w:r>
      <w:proofErr w:type="spellStart"/>
      <w:r>
        <w:rPr>
          <w:rFonts w:ascii="Arial" w:hAnsi="Arial" w:cs="Arial"/>
        </w:rPr>
        <w:t>Weitzem</w:t>
      </w:r>
      <w:proofErr w:type="spellEnd"/>
      <w:r>
        <w:rPr>
          <w:rFonts w:ascii="Arial" w:hAnsi="Arial" w:cs="Arial"/>
        </w:rPr>
        <w:t>, předsedou spolku</w:t>
      </w:r>
    </w:p>
    <w:p w:rsidR="00DB6B30" w:rsidRDefault="00DB6B30" w:rsidP="00DB6B30">
      <w:pPr>
        <w:spacing w:after="0" w:line="240" w:lineRule="auto"/>
        <w:jc w:val="both"/>
        <w:rPr>
          <w:rFonts w:ascii="Arial" w:hAnsi="Arial" w:cs="Arial"/>
        </w:rPr>
      </w:pPr>
      <w:r>
        <w:rPr>
          <w:rFonts w:ascii="Arial" w:hAnsi="Arial" w:cs="Arial"/>
        </w:rPr>
        <w:t>sídlo:</w:t>
      </w:r>
      <w:r>
        <w:rPr>
          <w:rFonts w:ascii="Arial" w:hAnsi="Arial" w:cs="Arial"/>
        </w:rPr>
        <w:tab/>
      </w:r>
      <w:r>
        <w:rPr>
          <w:rFonts w:ascii="Arial" w:hAnsi="Arial" w:cs="Arial"/>
        </w:rPr>
        <w:tab/>
      </w:r>
      <w:r>
        <w:rPr>
          <w:rFonts w:ascii="Arial" w:hAnsi="Arial" w:cs="Arial"/>
        </w:rPr>
        <w:tab/>
      </w:r>
      <w:r>
        <w:rPr>
          <w:rFonts w:ascii="Arial" w:hAnsi="Arial" w:cs="Arial"/>
        </w:rPr>
        <w:tab/>
        <w:t>Tylova 2084, 436 01 Litvínov</w:t>
      </w:r>
    </w:p>
    <w:p w:rsidR="00DB6B30" w:rsidRDefault="00DB6B30" w:rsidP="00DB6B30">
      <w:pPr>
        <w:spacing w:after="0" w:line="240" w:lineRule="auto"/>
        <w:jc w:val="both"/>
        <w:rPr>
          <w:rFonts w:ascii="Arial" w:hAnsi="Arial" w:cs="Arial"/>
        </w:rPr>
      </w:pPr>
      <w:r>
        <w:rPr>
          <w:rFonts w:ascii="Arial" w:hAnsi="Arial" w:cs="Arial"/>
        </w:rPr>
        <w:t>IČO:</w:t>
      </w:r>
      <w:r>
        <w:rPr>
          <w:rFonts w:ascii="Arial" w:hAnsi="Arial" w:cs="Arial"/>
        </w:rPr>
        <w:tab/>
      </w:r>
      <w:r>
        <w:rPr>
          <w:rFonts w:ascii="Arial" w:hAnsi="Arial" w:cs="Arial"/>
        </w:rPr>
        <w:tab/>
      </w:r>
      <w:r>
        <w:rPr>
          <w:rFonts w:ascii="Arial" w:hAnsi="Arial" w:cs="Arial"/>
        </w:rPr>
        <w:tab/>
      </w:r>
      <w:r>
        <w:rPr>
          <w:rFonts w:ascii="Arial" w:hAnsi="Arial" w:cs="Arial"/>
        </w:rPr>
        <w:tab/>
        <w:t>64045676</w:t>
      </w:r>
    </w:p>
    <w:p w:rsidR="00DB6B30" w:rsidRDefault="00DB6B30" w:rsidP="00DB6B30">
      <w:pPr>
        <w:spacing w:after="0" w:line="240" w:lineRule="auto"/>
        <w:jc w:val="both"/>
        <w:rPr>
          <w:rFonts w:ascii="Arial" w:hAnsi="Arial" w:cs="Arial"/>
        </w:rPr>
      </w:pPr>
      <w:r>
        <w:rPr>
          <w:rFonts w:ascii="Arial" w:hAnsi="Arial" w:cs="Arial"/>
        </w:rPr>
        <w:t>DIČ:</w:t>
      </w:r>
      <w:r>
        <w:rPr>
          <w:rFonts w:ascii="Arial" w:hAnsi="Arial" w:cs="Arial"/>
        </w:rPr>
        <w:tab/>
      </w:r>
      <w:r>
        <w:rPr>
          <w:rFonts w:ascii="Arial" w:hAnsi="Arial" w:cs="Arial"/>
        </w:rPr>
        <w:tab/>
        <w:t xml:space="preserve"> </w:t>
      </w:r>
      <w:r>
        <w:rPr>
          <w:rFonts w:ascii="Arial" w:hAnsi="Arial" w:cs="Arial"/>
        </w:rPr>
        <w:tab/>
      </w:r>
      <w:r>
        <w:rPr>
          <w:rFonts w:ascii="Arial" w:hAnsi="Arial" w:cs="Arial"/>
        </w:rPr>
        <w:tab/>
        <w:t>CZ64045676 neplátce DPH</w:t>
      </w:r>
    </w:p>
    <w:p w:rsidR="00DB6B30" w:rsidRDefault="00DB6B30" w:rsidP="00DB6B30">
      <w:pPr>
        <w:spacing w:after="0" w:line="240" w:lineRule="auto"/>
        <w:jc w:val="both"/>
        <w:rPr>
          <w:rFonts w:ascii="Arial" w:hAnsi="Arial" w:cs="Arial"/>
        </w:rPr>
      </w:pPr>
      <w:r>
        <w:rPr>
          <w:rFonts w:ascii="Arial" w:hAnsi="Arial" w:cs="Arial"/>
        </w:rPr>
        <w:t xml:space="preserve">bankovní spojení: </w:t>
      </w:r>
      <w:r>
        <w:rPr>
          <w:rFonts w:ascii="Arial" w:hAnsi="Arial" w:cs="Arial"/>
        </w:rPr>
        <w:tab/>
      </w:r>
      <w:r>
        <w:rPr>
          <w:rFonts w:ascii="Arial" w:hAnsi="Arial" w:cs="Arial"/>
        </w:rPr>
        <w:tab/>
      </w:r>
      <w:proofErr w:type="spellStart"/>
      <w:r w:rsidR="009B6C37">
        <w:rPr>
          <w:rFonts w:ascii="Arial" w:hAnsi="Arial" w:cs="Arial"/>
        </w:rPr>
        <w:t>xxxxxxxxxxxx</w:t>
      </w:r>
      <w:proofErr w:type="spellEnd"/>
    </w:p>
    <w:p w:rsidR="00DB6B30" w:rsidRDefault="00DB6B30" w:rsidP="00DB6B30">
      <w:pPr>
        <w:spacing w:after="0" w:line="240" w:lineRule="auto"/>
        <w:jc w:val="both"/>
        <w:rPr>
          <w:rFonts w:ascii="Arial" w:hAnsi="Arial" w:cs="Arial"/>
        </w:rPr>
      </w:pPr>
      <w:r>
        <w:rPr>
          <w:rFonts w:ascii="Arial" w:hAnsi="Arial" w:cs="Arial"/>
        </w:rPr>
        <w:t>číslo účtu:</w:t>
      </w:r>
      <w:r>
        <w:rPr>
          <w:rFonts w:ascii="Arial" w:hAnsi="Arial" w:cs="Arial"/>
        </w:rPr>
        <w:tab/>
      </w:r>
      <w:r>
        <w:rPr>
          <w:rFonts w:ascii="Arial" w:hAnsi="Arial" w:cs="Arial"/>
        </w:rPr>
        <w:tab/>
      </w:r>
      <w:r>
        <w:rPr>
          <w:rFonts w:ascii="Arial" w:hAnsi="Arial" w:cs="Arial"/>
        </w:rPr>
        <w:tab/>
      </w:r>
      <w:proofErr w:type="spellStart"/>
      <w:r w:rsidR="009B6C37">
        <w:rPr>
          <w:rFonts w:ascii="Arial" w:hAnsi="Arial" w:cs="Arial"/>
        </w:rPr>
        <w:t>xxxxxxxxxxxxx</w:t>
      </w:r>
      <w:proofErr w:type="spellEnd"/>
    </w:p>
    <w:p w:rsidR="00DB6B30" w:rsidRDefault="00DB6B30" w:rsidP="00DB6B30">
      <w:pPr>
        <w:tabs>
          <w:tab w:val="left" w:pos="360"/>
        </w:tabs>
        <w:spacing w:after="0" w:line="240" w:lineRule="auto"/>
        <w:ind w:right="51"/>
      </w:pPr>
      <w:r>
        <w:rPr>
          <w:rFonts w:ascii="Arial" w:hAnsi="Arial" w:cs="Arial"/>
        </w:rPr>
        <w:t>(dále také jako „</w:t>
      </w:r>
      <w:r>
        <w:rPr>
          <w:rFonts w:ascii="Arial" w:hAnsi="Arial" w:cs="Arial"/>
          <w:i/>
        </w:rPr>
        <w:t>příjemce</w:t>
      </w:r>
      <w:r>
        <w:rPr>
          <w:rFonts w:ascii="Arial" w:hAnsi="Arial" w:cs="Arial"/>
        </w:rPr>
        <w:t>“)</w:t>
      </w:r>
    </w:p>
    <w:p w:rsidR="00DB6B30" w:rsidRDefault="00DB6B30" w:rsidP="00DB6B30">
      <w:pPr>
        <w:tabs>
          <w:tab w:val="left" w:pos="360"/>
        </w:tabs>
        <w:spacing w:after="0" w:line="240" w:lineRule="auto"/>
        <w:ind w:right="51"/>
        <w:rPr>
          <w:rFonts w:ascii="Arial" w:hAnsi="Arial" w:cs="Arial"/>
        </w:rPr>
      </w:pPr>
    </w:p>
    <w:p w:rsidR="00DB6B30" w:rsidRDefault="00DB6B30" w:rsidP="00DB6B30">
      <w:pPr>
        <w:tabs>
          <w:tab w:val="left" w:pos="360"/>
        </w:tabs>
        <w:spacing w:after="0" w:line="240" w:lineRule="auto"/>
        <w:ind w:right="51"/>
        <w:jc w:val="center"/>
        <w:rPr>
          <w:rFonts w:ascii="Arial" w:hAnsi="Arial" w:cs="Arial"/>
        </w:rPr>
      </w:pPr>
      <w:r>
        <w:rPr>
          <w:rFonts w:ascii="Arial" w:hAnsi="Arial" w:cs="Arial"/>
        </w:rPr>
        <w:t>uzavírají tuto smlouvu o poskytnutí dotace</w:t>
      </w:r>
    </w:p>
    <w:p w:rsidR="00DB6B30" w:rsidRDefault="00DB6B30" w:rsidP="00DB6B30">
      <w:pPr>
        <w:tabs>
          <w:tab w:val="left" w:pos="360"/>
        </w:tabs>
        <w:spacing w:after="0" w:line="240" w:lineRule="auto"/>
        <w:ind w:right="51"/>
        <w:jc w:val="center"/>
        <w:rPr>
          <w:rFonts w:ascii="Arial" w:hAnsi="Arial" w:cs="Arial"/>
        </w:rPr>
      </w:pPr>
    </w:p>
    <w:p w:rsidR="00DB6B30" w:rsidRDefault="00DB6B30" w:rsidP="00DB6B30">
      <w:pPr>
        <w:tabs>
          <w:tab w:val="left" w:pos="360"/>
        </w:tabs>
        <w:spacing w:after="0" w:line="240" w:lineRule="auto"/>
        <w:ind w:right="51"/>
        <w:jc w:val="center"/>
        <w:rPr>
          <w:rFonts w:ascii="Arial" w:hAnsi="Arial" w:cs="Arial"/>
        </w:rPr>
      </w:pPr>
    </w:p>
    <w:p w:rsidR="00DB6B30" w:rsidRDefault="00DB6B30" w:rsidP="00DB6B30">
      <w:pPr>
        <w:tabs>
          <w:tab w:val="left" w:pos="360"/>
        </w:tabs>
        <w:spacing w:after="0" w:line="240" w:lineRule="auto"/>
        <w:ind w:right="51"/>
        <w:jc w:val="center"/>
        <w:rPr>
          <w:rFonts w:ascii="Arial" w:hAnsi="Arial" w:cs="Arial"/>
          <w:b/>
        </w:rPr>
      </w:pPr>
      <w:r>
        <w:rPr>
          <w:rFonts w:ascii="Arial" w:hAnsi="Arial" w:cs="Arial"/>
          <w:b/>
        </w:rPr>
        <w:t>Článek 1</w:t>
      </w:r>
    </w:p>
    <w:p w:rsidR="00DB6B30" w:rsidRDefault="00DB6B30" w:rsidP="00DB6B30">
      <w:pPr>
        <w:tabs>
          <w:tab w:val="left" w:pos="360"/>
        </w:tabs>
        <w:spacing w:after="0" w:line="240" w:lineRule="auto"/>
        <w:ind w:right="51"/>
        <w:jc w:val="center"/>
        <w:rPr>
          <w:rFonts w:ascii="Arial" w:hAnsi="Arial" w:cs="Arial"/>
          <w:b/>
        </w:rPr>
      </w:pPr>
      <w:proofErr w:type="gramStart"/>
      <w:r>
        <w:rPr>
          <w:rFonts w:ascii="Arial" w:hAnsi="Arial" w:cs="Arial"/>
          <w:b/>
        </w:rPr>
        <w:t>Předmět  a účel</w:t>
      </w:r>
      <w:proofErr w:type="gramEnd"/>
      <w:r>
        <w:rPr>
          <w:rFonts w:ascii="Arial" w:hAnsi="Arial" w:cs="Arial"/>
          <w:b/>
        </w:rPr>
        <w:t xml:space="preserve"> smlouvy </w:t>
      </w:r>
    </w:p>
    <w:p w:rsidR="00DB6B30" w:rsidRDefault="00DB6B30" w:rsidP="00DB6B30">
      <w:pPr>
        <w:spacing w:after="0" w:line="240" w:lineRule="auto"/>
        <w:rPr>
          <w:rFonts w:ascii="Arial" w:hAnsi="Arial" w:cs="Arial"/>
        </w:rPr>
      </w:pPr>
    </w:p>
    <w:p w:rsidR="00DB6B30" w:rsidRDefault="00DB6B30" w:rsidP="00DB6B30">
      <w:pPr>
        <w:spacing w:after="0" w:line="240" w:lineRule="auto"/>
        <w:jc w:val="both"/>
      </w:pPr>
      <w:r>
        <w:rPr>
          <w:rFonts w:ascii="Arial" w:hAnsi="Arial" w:cs="Arial"/>
        </w:rPr>
        <w:t xml:space="preserve">1.1. V rámci rozpočtu města Zastupitelstvem města Litvínov dne </w:t>
      </w:r>
      <w:proofErr w:type="gramStart"/>
      <w:r w:rsidR="00B9534B">
        <w:rPr>
          <w:rFonts w:ascii="Arial" w:hAnsi="Arial" w:cs="Arial"/>
        </w:rPr>
        <w:t>15.12.2016</w:t>
      </w:r>
      <w:proofErr w:type="gramEnd"/>
      <w:r>
        <w:rPr>
          <w:rFonts w:ascii="Arial" w:hAnsi="Arial" w:cs="Arial"/>
        </w:rPr>
        <w:t xml:space="preserve">, usnesením číslo </w:t>
      </w:r>
      <w:r w:rsidRPr="00A85250">
        <w:rPr>
          <w:rFonts w:ascii="Arial" w:hAnsi="Arial" w:cs="Arial"/>
        </w:rPr>
        <w:t>Z/</w:t>
      </w:r>
      <w:r w:rsidR="00731C81">
        <w:rPr>
          <w:rFonts w:ascii="Arial" w:hAnsi="Arial" w:cs="Arial"/>
        </w:rPr>
        <w:t>629/22</w:t>
      </w:r>
      <w:r>
        <w:rPr>
          <w:rFonts w:ascii="Arial" w:hAnsi="Arial" w:cs="Arial"/>
        </w:rPr>
        <w:t xml:space="preserve">, byla schválena na rok 2017 pro příjemce neinvestiční dotace ve výši </w:t>
      </w:r>
      <w:r w:rsidR="004F63B4">
        <w:rPr>
          <w:rFonts w:ascii="Arial" w:hAnsi="Arial" w:cs="Arial"/>
          <w:b/>
        </w:rPr>
        <w:t>97</w:t>
      </w:r>
      <w:r>
        <w:rPr>
          <w:rFonts w:ascii="Arial" w:hAnsi="Arial" w:cs="Arial"/>
          <w:b/>
        </w:rPr>
        <w:t xml:space="preserve"> 000 Kč</w:t>
      </w:r>
      <w:r>
        <w:rPr>
          <w:rFonts w:ascii="Arial" w:hAnsi="Arial" w:cs="Arial"/>
        </w:rPr>
        <w:t xml:space="preserve"> (slovy: </w:t>
      </w:r>
      <w:proofErr w:type="spellStart"/>
      <w:r w:rsidR="004F63B4">
        <w:rPr>
          <w:rFonts w:ascii="Arial" w:hAnsi="Arial" w:cs="Arial"/>
        </w:rPr>
        <w:t>devadesátsedmti</w:t>
      </w:r>
      <w:r>
        <w:rPr>
          <w:rFonts w:ascii="Arial" w:hAnsi="Arial" w:cs="Arial"/>
        </w:rPr>
        <w:t>síc</w:t>
      </w:r>
      <w:proofErr w:type="spellEnd"/>
      <w:r>
        <w:rPr>
          <w:rFonts w:ascii="Arial" w:hAnsi="Arial" w:cs="Arial"/>
        </w:rPr>
        <w:t xml:space="preserve"> korun českých).</w:t>
      </w:r>
    </w:p>
    <w:p w:rsidR="00DB6B30" w:rsidRDefault="00DB6B30" w:rsidP="00DB6B30">
      <w:pPr>
        <w:spacing w:after="0" w:line="240" w:lineRule="auto"/>
        <w:jc w:val="both"/>
        <w:rPr>
          <w:rFonts w:ascii="Arial" w:hAnsi="Arial" w:cs="Arial"/>
        </w:rPr>
      </w:pPr>
    </w:p>
    <w:p w:rsidR="00DB6B30" w:rsidRDefault="00DB6B30" w:rsidP="00DB6B30">
      <w:pPr>
        <w:spacing w:after="0" w:line="240" w:lineRule="auto"/>
        <w:jc w:val="center"/>
        <w:rPr>
          <w:rFonts w:ascii="Arial" w:hAnsi="Arial" w:cs="Arial"/>
          <w:b/>
          <w:bCs/>
        </w:rPr>
      </w:pPr>
    </w:p>
    <w:p w:rsidR="00DB6B30" w:rsidRDefault="00DB6B30" w:rsidP="00DB6B30">
      <w:pPr>
        <w:spacing w:after="0" w:line="240" w:lineRule="auto"/>
        <w:jc w:val="center"/>
        <w:rPr>
          <w:rFonts w:ascii="Arial" w:hAnsi="Arial" w:cs="Arial"/>
          <w:b/>
          <w:bCs/>
        </w:rPr>
      </w:pPr>
      <w:r>
        <w:rPr>
          <w:rFonts w:ascii="Arial" w:hAnsi="Arial" w:cs="Arial"/>
          <w:b/>
          <w:bCs/>
        </w:rPr>
        <w:t>Článek 2</w:t>
      </w:r>
    </w:p>
    <w:p w:rsidR="00DB6B30" w:rsidRDefault="00DB6B30" w:rsidP="00DB6B30">
      <w:pPr>
        <w:spacing w:after="0" w:line="240" w:lineRule="auto"/>
        <w:jc w:val="center"/>
        <w:rPr>
          <w:rFonts w:ascii="Arial" w:hAnsi="Arial" w:cs="Arial"/>
          <w:b/>
          <w:bCs/>
        </w:rPr>
      </w:pPr>
      <w:r>
        <w:rPr>
          <w:rFonts w:ascii="Arial" w:hAnsi="Arial" w:cs="Arial"/>
          <w:b/>
          <w:bCs/>
        </w:rPr>
        <w:t>Závazky poskytovatele</w:t>
      </w:r>
    </w:p>
    <w:p w:rsidR="00DB6B30" w:rsidRDefault="00DB6B30" w:rsidP="00DB6B30">
      <w:pPr>
        <w:spacing w:after="0" w:line="240" w:lineRule="auto"/>
        <w:jc w:val="both"/>
        <w:rPr>
          <w:rFonts w:ascii="Arial" w:hAnsi="Arial" w:cs="Arial"/>
          <w:b/>
        </w:rPr>
      </w:pPr>
    </w:p>
    <w:p w:rsidR="00DB6B30" w:rsidRDefault="00DB6B30" w:rsidP="00DB6B30">
      <w:pPr>
        <w:spacing w:after="0" w:line="240" w:lineRule="auto"/>
        <w:jc w:val="both"/>
        <w:rPr>
          <w:rFonts w:ascii="Arial" w:hAnsi="Arial" w:cs="Arial"/>
        </w:rPr>
      </w:pPr>
      <w:r>
        <w:rPr>
          <w:rFonts w:ascii="Arial" w:hAnsi="Arial" w:cs="Arial"/>
        </w:rPr>
        <w:t xml:space="preserve">2.1 Finanční prostředky budou poukazovány na účet příjemce číslo </w:t>
      </w:r>
      <w:r w:rsidR="009B6C37">
        <w:rPr>
          <w:rFonts w:ascii="Arial" w:hAnsi="Arial" w:cs="Arial"/>
        </w:rPr>
        <w:t>xxxxxxxxxxxxxxxxxxxxxx</w:t>
      </w:r>
      <w:bookmarkStart w:id="0" w:name="_GoBack"/>
      <w:bookmarkEnd w:id="0"/>
    </w:p>
    <w:p w:rsidR="00DB6B30" w:rsidRDefault="00DB6B30" w:rsidP="00DB6B30">
      <w:pPr>
        <w:spacing w:after="0" w:line="240" w:lineRule="auto"/>
        <w:jc w:val="both"/>
        <w:rPr>
          <w:rFonts w:ascii="Arial" w:hAnsi="Arial" w:cs="Arial"/>
        </w:rPr>
      </w:pPr>
    </w:p>
    <w:p w:rsidR="00DB6B30" w:rsidRDefault="00DB6B30" w:rsidP="00DB6B30">
      <w:pPr>
        <w:spacing w:after="0" w:line="240" w:lineRule="auto"/>
        <w:jc w:val="both"/>
        <w:rPr>
          <w:rFonts w:ascii="Arial" w:hAnsi="Arial" w:cs="Arial"/>
        </w:rPr>
      </w:pPr>
    </w:p>
    <w:p w:rsidR="00DB6B30" w:rsidRDefault="00DB6B30" w:rsidP="00DB6B30">
      <w:pPr>
        <w:spacing w:after="0" w:line="240" w:lineRule="auto"/>
        <w:jc w:val="both"/>
        <w:rPr>
          <w:rFonts w:ascii="Arial" w:hAnsi="Arial" w:cs="Arial"/>
        </w:rPr>
      </w:pPr>
      <w:r>
        <w:rPr>
          <w:rFonts w:ascii="Arial" w:hAnsi="Arial" w:cs="Arial"/>
        </w:rPr>
        <w:t xml:space="preserve">2.2 Finanční prostředky ve výši </w:t>
      </w:r>
      <w:r w:rsidR="004F63B4">
        <w:rPr>
          <w:rFonts w:ascii="Arial" w:hAnsi="Arial" w:cs="Arial"/>
          <w:b/>
        </w:rPr>
        <w:t>97 000 Kč</w:t>
      </w:r>
      <w:r w:rsidR="004F63B4">
        <w:rPr>
          <w:rFonts w:ascii="Arial" w:hAnsi="Arial" w:cs="Arial"/>
        </w:rPr>
        <w:t xml:space="preserve"> (slovy: </w:t>
      </w:r>
      <w:proofErr w:type="spellStart"/>
      <w:r w:rsidR="004F63B4">
        <w:rPr>
          <w:rFonts w:ascii="Arial" w:hAnsi="Arial" w:cs="Arial"/>
        </w:rPr>
        <w:t>devadesátsedmtisíc</w:t>
      </w:r>
      <w:proofErr w:type="spellEnd"/>
      <w:r w:rsidR="004F63B4">
        <w:rPr>
          <w:rFonts w:ascii="Arial" w:hAnsi="Arial" w:cs="Arial"/>
        </w:rPr>
        <w:t xml:space="preserve"> korun českých) </w:t>
      </w:r>
      <w:r>
        <w:rPr>
          <w:rFonts w:ascii="Arial" w:hAnsi="Arial" w:cs="Arial"/>
        </w:rPr>
        <w:t>se poskytovatel zavazuje příjemci poskytnout do 10 dnů od podpisu smlouvy.</w:t>
      </w:r>
    </w:p>
    <w:p w:rsidR="00DB6B30" w:rsidRDefault="00DB6B30" w:rsidP="00DB6B30">
      <w:pPr>
        <w:spacing w:after="0" w:line="240" w:lineRule="auto"/>
        <w:jc w:val="both"/>
        <w:rPr>
          <w:rFonts w:ascii="Arial" w:hAnsi="Arial" w:cs="Arial"/>
        </w:rPr>
      </w:pPr>
    </w:p>
    <w:p w:rsidR="00DB6B30" w:rsidRDefault="00DB6B30" w:rsidP="00DB6B30">
      <w:pPr>
        <w:spacing w:after="0" w:line="240" w:lineRule="auto"/>
        <w:jc w:val="both"/>
        <w:rPr>
          <w:rFonts w:ascii="Arial" w:hAnsi="Arial" w:cs="Arial"/>
        </w:rPr>
      </w:pPr>
      <w:r>
        <w:rPr>
          <w:rFonts w:ascii="Arial" w:hAnsi="Arial" w:cs="Arial"/>
        </w:rPr>
        <w:t>2.3 Podmínkou poskytnutí finančních prostředků je řádné plnění všech závazků příjemcem.</w:t>
      </w:r>
    </w:p>
    <w:p w:rsidR="00DB6B30" w:rsidRDefault="00DB6B30" w:rsidP="00DB6B30">
      <w:pPr>
        <w:spacing w:after="0" w:line="240" w:lineRule="auto"/>
        <w:jc w:val="both"/>
        <w:rPr>
          <w:rFonts w:ascii="Arial" w:hAnsi="Arial" w:cs="Arial"/>
        </w:rPr>
      </w:pPr>
    </w:p>
    <w:p w:rsidR="00DB6B30" w:rsidRDefault="00DB6B30" w:rsidP="00DB6B30">
      <w:pPr>
        <w:spacing w:after="0" w:line="240" w:lineRule="auto"/>
        <w:jc w:val="both"/>
        <w:rPr>
          <w:rFonts w:ascii="Arial" w:hAnsi="Arial" w:cs="Arial"/>
        </w:rPr>
      </w:pPr>
    </w:p>
    <w:p w:rsidR="00DB6B30" w:rsidRDefault="00DB6B30" w:rsidP="00DB6B30">
      <w:pPr>
        <w:spacing w:after="0" w:line="240" w:lineRule="auto"/>
        <w:jc w:val="center"/>
        <w:rPr>
          <w:rFonts w:ascii="Arial" w:hAnsi="Arial" w:cs="Arial"/>
          <w:b/>
          <w:bCs/>
        </w:rPr>
      </w:pPr>
    </w:p>
    <w:p w:rsidR="00DB6B30" w:rsidRDefault="00DB6B30" w:rsidP="00DB6B30">
      <w:pPr>
        <w:spacing w:after="0" w:line="240" w:lineRule="auto"/>
        <w:jc w:val="center"/>
        <w:rPr>
          <w:rFonts w:ascii="Arial" w:hAnsi="Arial" w:cs="Arial"/>
          <w:b/>
          <w:bCs/>
        </w:rPr>
      </w:pPr>
    </w:p>
    <w:p w:rsidR="00DB6B30" w:rsidRDefault="00DB6B30" w:rsidP="00DB6B30">
      <w:pPr>
        <w:spacing w:after="0" w:line="240" w:lineRule="auto"/>
        <w:jc w:val="center"/>
        <w:rPr>
          <w:rFonts w:ascii="Arial" w:hAnsi="Arial" w:cs="Arial"/>
          <w:b/>
          <w:bCs/>
        </w:rPr>
      </w:pPr>
    </w:p>
    <w:p w:rsidR="00DB6B30" w:rsidRDefault="00DB6B30" w:rsidP="00DB6B30">
      <w:pPr>
        <w:spacing w:after="0" w:line="240" w:lineRule="auto"/>
        <w:jc w:val="center"/>
        <w:rPr>
          <w:rFonts w:ascii="Arial" w:hAnsi="Arial" w:cs="Arial"/>
          <w:b/>
          <w:bCs/>
        </w:rPr>
      </w:pPr>
    </w:p>
    <w:p w:rsidR="00DB6B30" w:rsidRDefault="00DB6B30" w:rsidP="00DB6B30">
      <w:pPr>
        <w:spacing w:after="0" w:line="240" w:lineRule="auto"/>
        <w:jc w:val="center"/>
        <w:rPr>
          <w:rFonts w:ascii="Arial" w:hAnsi="Arial" w:cs="Arial"/>
          <w:b/>
          <w:bCs/>
        </w:rPr>
      </w:pPr>
    </w:p>
    <w:p w:rsidR="00DB6B30" w:rsidRDefault="00DB6B30" w:rsidP="00DB6B30">
      <w:pPr>
        <w:spacing w:after="0" w:line="240" w:lineRule="auto"/>
        <w:jc w:val="center"/>
        <w:rPr>
          <w:rFonts w:ascii="Arial" w:hAnsi="Arial" w:cs="Arial"/>
          <w:b/>
          <w:bCs/>
        </w:rPr>
      </w:pPr>
      <w:r>
        <w:rPr>
          <w:rFonts w:ascii="Arial" w:hAnsi="Arial" w:cs="Arial"/>
          <w:b/>
          <w:bCs/>
        </w:rPr>
        <w:t>Článek 3</w:t>
      </w:r>
    </w:p>
    <w:p w:rsidR="00DB6B30" w:rsidRDefault="00DB6B30" w:rsidP="00DB6B30">
      <w:pPr>
        <w:spacing w:after="0" w:line="240" w:lineRule="auto"/>
        <w:jc w:val="center"/>
        <w:rPr>
          <w:rFonts w:ascii="Arial" w:hAnsi="Arial" w:cs="Arial"/>
          <w:b/>
          <w:bCs/>
        </w:rPr>
      </w:pPr>
      <w:r>
        <w:rPr>
          <w:rFonts w:ascii="Arial" w:hAnsi="Arial" w:cs="Arial"/>
          <w:b/>
          <w:bCs/>
        </w:rPr>
        <w:lastRenderedPageBreak/>
        <w:t>Závazky příjemce</w:t>
      </w:r>
    </w:p>
    <w:p w:rsidR="00DB6B30" w:rsidRDefault="00DB6B30" w:rsidP="00DB6B30">
      <w:pPr>
        <w:spacing w:after="0" w:line="240" w:lineRule="auto"/>
        <w:jc w:val="both"/>
        <w:rPr>
          <w:rFonts w:ascii="Arial" w:hAnsi="Arial" w:cs="Arial"/>
        </w:rPr>
      </w:pPr>
    </w:p>
    <w:p w:rsidR="004F63B4" w:rsidRDefault="00DB6B30" w:rsidP="004F63B4">
      <w:pPr>
        <w:spacing w:after="0" w:line="240" w:lineRule="auto"/>
        <w:jc w:val="both"/>
        <w:rPr>
          <w:rFonts w:ascii="Arial" w:hAnsi="Arial" w:cs="Arial"/>
        </w:rPr>
      </w:pPr>
      <w:r>
        <w:rPr>
          <w:rFonts w:ascii="Arial" w:hAnsi="Arial" w:cs="Arial"/>
        </w:rPr>
        <w:t>3.1. Příjemce se zavazuje finanční prostředky využít na neinvestiční výdaje v účelové vazbě na částečnou úhradu nákladů spojených a souvisejících s</w:t>
      </w:r>
      <w:r w:rsidR="004F63B4">
        <w:rPr>
          <w:rFonts w:ascii="Arial" w:hAnsi="Arial" w:cs="Arial"/>
        </w:rPr>
        <w:t> úhradou provozních nákladů spolku:</w:t>
      </w:r>
      <w:r>
        <w:rPr>
          <w:rFonts w:ascii="Arial" w:hAnsi="Arial" w:cs="Arial"/>
        </w:rPr>
        <w:t xml:space="preserve"> </w:t>
      </w:r>
    </w:p>
    <w:p w:rsidR="00DB6B30" w:rsidRDefault="004F63B4" w:rsidP="004F63B4">
      <w:pPr>
        <w:pStyle w:val="Odstavecseseznamem"/>
        <w:numPr>
          <w:ilvl w:val="0"/>
          <w:numId w:val="3"/>
        </w:numPr>
        <w:suppressAutoHyphens/>
        <w:autoSpaceDN w:val="0"/>
        <w:spacing w:after="0" w:line="240" w:lineRule="auto"/>
        <w:contextualSpacing w:val="0"/>
        <w:jc w:val="both"/>
        <w:textAlignment w:val="baseline"/>
        <w:rPr>
          <w:rFonts w:ascii="Arial" w:hAnsi="Arial" w:cs="Arial"/>
        </w:rPr>
      </w:pPr>
      <w:r>
        <w:rPr>
          <w:rFonts w:ascii="Arial" w:hAnsi="Arial" w:cs="Arial"/>
        </w:rPr>
        <w:t>teplo, elektrická energie, voda</w:t>
      </w:r>
    </w:p>
    <w:p w:rsidR="004F63B4" w:rsidRDefault="004F63B4" w:rsidP="004F63B4">
      <w:pPr>
        <w:pStyle w:val="Odstavecseseznamem"/>
        <w:suppressAutoHyphens/>
        <w:autoSpaceDN w:val="0"/>
        <w:spacing w:after="0" w:line="240" w:lineRule="auto"/>
        <w:ind w:left="780"/>
        <w:contextualSpacing w:val="0"/>
        <w:jc w:val="both"/>
        <w:textAlignment w:val="baseline"/>
        <w:rPr>
          <w:rFonts w:ascii="Arial" w:hAnsi="Arial" w:cs="Arial"/>
        </w:rPr>
      </w:pPr>
    </w:p>
    <w:p w:rsidR="00DB6B30" w:rsidRDefault="00DB6B30" w:rsidP="00DB6B30">
      <w:pPr>
        <w:spacing w:after="0" w:line="240" w:lineRule="auto"/>
        <w:jc w:val="both"/>
        <w:rPr>
          <w:rFonts w:ascii="Arial" w:hAnsi="Arial" w:cs="Arial"/>
        </w:rPr>
      </w:pPr>
      <w:r>
        <w:rPr>
          <w:rFonts w:ascii="Arial" w:hAnsi="Arial" w:cs="Arial"/>
        </w:rPr>
        <w:t>3.2 Příjemce je povinen se řídit Pravidly pro poskytování dotací z rozpočtu města Litvínova, zákonem č. 250/2000 Sb., o rozpočtových pravidlech územních rozpočtů, touto smlouvou a obecně závaznými platnými právními předpisy.</w:t>
      </w:r>
    </w:p>
    <w:p w:rsidR="00DB6B30" w:rsidRDefault="00DB6B30" w:rsidP="00DB6B30">
      <w:pPr>
        <w:spacing w:after="0" w:line="240" w:lineRule="auto"/>
        <w:jc w:val="both"/>
        <w:rPr>
          <w:rFonts w:ascii="Arial" w:hAnsi="Arial" w:cs="Arial"/>
        </w:rPr>
      </w:pPr>
    </w:p>
    <w:p w:rsidR="00DB6B30" w:rsidRDefault="00DB6B30" w:rsidP="00DB6B30">
      <w:pPr>
        <w:spacing w:after="0" w:line="240" w:lineRule="auto"/>
        <w:jc w:val="both"/>
        <w:rPr>
          <w:rFonts w:ascii="Arial" w:hAnsi="Arial" w:cs="Arial"/>
        </w:rPr>
      </w:pPr>
      <w:r>
        <w:rPr>
          <w:rFonts w:ascii="Arial" w:hAnsi="Arial" w:cs="Arial"/>
        </w:rPr>
        <w:t>3.3 Příjemce je povinen tuto dotaci (poskytnutou dotaci dle této smlouvy) použít jako dotaci neinvestiční. Porušení této povinnosti bude poskytovatelem posuzováno jako porušení rozpočtové kázně.</w:t>
      </w:r>
    </w:p>
    <w:p w:rsidR="00DB6B30" w:rsidRDefault="00DB6B30" w:rsidP="00DB6B30">
      <w:pPr>
        <w:spacing w:after="0" w:line="240" w:lineRule="auto"/>
        <w:jc w:val="both"/>
        <w:rPr>
          <w:rFonts w:ascii="Arial" w:hAnsi="Arial" w:cs="Arial"/>
        </w:rPr>
      </w:pPr>
    </w:p>
    <w:p w:rsidR="00DB6B30" w:rsidRDefault="00DB6B30" w:rsidP="00DB6B30">
      <w:pPr>
        <w:spacing w:after="0" w:line="240" w:lineRule="auto"/>
        <w:jc w:val="both"/>
        <w:rPr>
          <w:rFonts w:ascii="Arial" w:hAnsi="Arial" w:cs="Arial"/>
        </w:rPr>
      </w:pPr>
      <w:r>
        <w:rPr>
          <w:rFonts w:ascii="Arial" w:hAnsi="Arial" w:cs="Arial"/>
        </w:rPr>
        <w:t xml:space="preserve">3.4 Příjemce je povinen předložit odboru sociálních věcí a školství Městského úřadu v Litvínově závěrečnou zprávu o použití finančních prostředků v cenách včetně DPH. Dále účetní sestavu zobrazující účetní doklady hrazené z poskytnuté dotace, kopie účetních dokladů (faktury, účtenky/paragony) se všemi náležitostmi v souladu se zákonem č. 563/1991 Sb., o účetnictví, v platném znění a ve znění pozdějších předpisů, včetně výpisů z bankovního účtu, popřípadě výdajových dokladů při platbě v hotovosti, účtovou osnovu, a to nejpozději do </w:t>
      </w:r>
      <w:proofErr w:type="gramStart"/>
      <w:r>
        <w:rPr>
          <w:rFonts w:ascii="Arial" w:hAnsi="Arial" w:cs="Arial"/>
        </w:rPr>
        <w:t>31.03.2018</w:t>
      </w:r>
      <w:proofErr w:type="gramEnd"/>
      <w:r>
        <w:rPr>
          <w:rFonts w:ascii="Arial" w:hAnsi="Arial" w:cs="Arial"/>
        </w:rPr>
        <w:t>.</w:t>
      </w:r>
    </w:p>
    <w:p w:rsidR="00DB6B30" w:rsidRDefault="00DB6B30" w:rsidP="00DB6B30">
      <w:pPr>
        <w:spacing w:after="0" w:line="240" w:lineRule="auto"/>
        <w:jc w:val="both"/>
        <w:rPr>
          <w:rFonts w:ascii="Arial" w:hAnsi="Arial" w:cs="Arial"/>
        </w:rPr>
      </w:pPr>
      <w:r>
        <w:rPr>
          <w:rFonts w:ascii="Arial" w:hAnsi="Arial" w:cs="Arial"/>
        </w:rPr>
        <w:t>Výdaje musí být přiměřené (odpovídat cenám v místě a čase obvyklým) a vynaložené v souladu s principy hospodárnosti, účelnosti a efektivnosti. Výdaje musí být identifikovatelné a prokazatelné, doložené potvrzenými účetními doklady, tzn., musí být definitivní a zachycené odpovídajícím způsobem a v souladu s požadavky legislativy v účetnictví.</w:t>
      </w:r>
    </w:p>
    <w:p w:rsidR="00DB6B30" w:rsidRDefault="00DB6B30" w:rsidP="00DB6B30">
      <w:pPr>
        <w:spacing w:after="0" w:line="240" w:lineRule="auto"/>
        <w:jc w:val="both"/>
        <w:rPr>
          <w:rFonts w:ascii="Arial" w:hAnsi="Arial" w:cs="Arial"/>
        </w:rPr>
      </w:pPr>
      <w:r>
        <w:rPr>
          <w:rFonts w:ascii="Arial" w:hAnsi="Arial" w:cs="Arial"/>
        </w:rPr>
        <w:t>Nevyčerpané finanční prostředky vrátí příjemce dotace neprodleně, nejpozději ve lhůtě, ve které je povinen předložit řádné vyúčtování poskytnuté neinvestiční dotace.</w:t>
      </w:r>
    </w:p>
    <w:p w:rsidR="00DB6B30" w:rsidRDefault="00DB6B30" w:rsidP="00DB6B30">
      <w:pPr>
        <w:spacing w:after="0" w:line="240" w:lineRule="auto"/>
        <w:jc w:val="both"/>
        <w:rPr>
          <w:rFonts w:ascii="Arial" w:hAnsi="Arial" w:cs="Arial"/>
        </w:rPr>
      </w:pPr>
    </w:p>
    <w:p w:rsidR="00DB6B30" w:rsidRDefault="00DB6B30" w:rsidP="00DB6B30">
      <w:pPr>
        <w:spacing w:after="0" w:line="240" w:lineRule="auto"/>
        <w:jc w:val="both"/>
        <w:rPr>
          <w:rFonts w:ascii="Arial" w:hAnsi="Arial" w:cs="Arial"/>
        </w:rPr>
      </w:pPr>
      <w:r>
        <w:rPr>
          <w:rFonts w:ascii="Arial" w:hAnsi="Arial" w:cs="Arial"/>
        </w:rPr>
        <w:t>3.5 Příjemce je povinen na originále účetního dokladu uvést, že úhrada byla financována z dotace města Litvínova s odkazem na příslušný smluvní vztah (dle smlouvy číslo KT/</w:t>
      </w:r>
      <w:r w:rsidR="007865CA">
        <w:rPr>
          <w:rFonts w:ascii="Arial" w:hAnsi="Arial" w:cs="Arial"/>
        </w:rPr>
        <w:t>9007/16</w:t>
      </w:r>
      <w:r>
        <w:rPr>
          <w:rFonts w:ascii="Arial" w:hAnsi="Arial" w:cs="Arial"/>
        </w:rPr>
        <w:t xml:space="preserve"> ze dne </w:t>
      </w:r>
      <w:proofErr w:type="gramStart"/>
      <w:r w:rsidR="00731C81">
        <w:rPr>
          <w:rFonts w:ascii="Arial" w:hAnsi="Arial" w:cs="Arial"/>
        </w:rPr>
        <w:t>15.12.</w:t>
      </w:r>
      <w:r>
        <w:rPr>
          <w:rFonts w:ascii="Arial" w:hAnsi="Arial" w:cs="Arial"/>
        </w:rPr>
        <w:t>2016</w:t>
      </w:r>
      <w:proofErr w:type="gramEnd"/>
      <w:r>
        <w:rPr>
          <w:rFonts w:ascii="Arial" w:hAnsi="Arial" w:cs="Arial"/>
        </w:rPr>
        <w:t xml:space="preserve"> ve výši </w:t>
      </w:r>
      <w:r w:rsidR="004F63B4">
        <w:rPr>
          <w:rFonts w:ascii="Arial" w:hAnsi="Arial" w:cs="Arial"/>
        </w:rPr>
        <w:t>97</w:t>
      </w:r>
      <w:r>
        <w:rPr>
          <w:rFonts w:ascii="Arial" w:hAnsi="Arial" w:cs="Arial"/>
        </w:rPr>
        <w:t> 000 Kč). Splnění této podmínky doloží příjemce dotace při vyúčtování kopií účetního dokladu.</w:t>
      </w:r>
    </w:p>
    <w:p w:rsidR="00DB6B30" w:rsidRDefault="00DB6B30" w:rsidP="00DB6B30">
      <w:pPr>
        <w:spacing w:after="0" w:line="240" w:lineRule="auto"/>
        <w:jc w:val="both"/>
        <w:rPr>
          <w:rFonts w:ascii="Arial" w:hAnsi="Arial" w:cs="Arial"/>
        </w:rPr>
      </w:pPr>
    </w:p>
    <w:p w:rsidR="00DB6B30" w:rsidRDefault="00DB6B30" w:rsidP="00DB6B30">
      <w:pPr>
        <w:spacing w:after="0" w:line="240" w:lineRule="auto"/>
        <w:jc w:val="both"/>
        <w:rPr>
          <w:rFonts w:ascii="Arial" w:hAnsi="Arial" w:cs="Arial"/>
        </w:rPr>
      </w:pPr>
      <w:r>
        <w:rPr>
          <w:rFonts w:ascii="Arial" w:hAnsi="Arial" w:cs="Arial"/>
        </w:rPr>
        <w:t xml:space="preserve">3.6 Příjemce je povinen vrátit neinvestiční dotaci na účet města č. </w:t>
      </w:r>
      <w:proofErr w:type="spellStart"/>
      <w:r>
        <w:rPr>
          <w:rFonts w:ascii="Arial" w:hAnsi="Arial" w:cs="Arial"/>
        </w:rPr>
        <w:t>ú.</w:t>
      </w:r>
      <w:proofErr w:type="spellEnd"/>
      <w:r>
        <w:rPr>
          <w:rFonts w:ascii="Arial" w:hAnsi="Arial" w:cs="Arial"/>
        </w:rPr>
        <w:t>: 90050001326491/0100, vedený u Komerční banky, a.s., pobočka Litvínov v případě, že nebude použita pro stanovený účel nebo použití pro stanovený účel nebude řádně prokázáno, a to v rozsahu, v jakém nebyla užita ke stanovenému účelu nebo v rozsahu, v jakém užití ke stanovenému účelu nebylo prokázáno neprodleně, nejpozději ve lhůtě, ve které je povinen předložit řádně vyúčtování poskytnuté neinvestiční dotace.</w:t>
      </w:r>
    </w:p>
    <w:p w:rsidR="00DB6B30" w:rsidRDefault="00DB6B30" w:rsidP="00DB6B30">
      <w:pPr>
        <w:spacing w:after="0" w:line="240" w:lineRule="auto"/>
        <w:jc w:val="both"/>
        <w:rPr>
          <w:rFonts w:ascii="Arial" w:hAnsi="Arial" w:cs="Arial"/>
        </w:rPr>
      </w:pPr>
    </w:p>
    <w:p w:rsidR="00DB6B30" w:rsidRDefault="00DB6B30" w:rsidP="00DB6B30">
      <w:pPr>
        <w:spacing w:after="0" w:line="240" w:lineRule="auto"/>
        <w:jc w:val="both"/>
        <w:rPr>
          <w:rFonts w:ascii="Arial" w:hAnsi="Arial" w:cs="Arial"/>
        </w:rPr>
      </w:pPr>
      <w:r>
        <w:rPr>
          <w:rFonts w:ascii="Arial" w:hAnsi="Arial" w:cs="Arial"/>
        </w:rPr>
        <w:t>3.7 Příjemce je povinen oznámit nejpozději do 15 dnů skutečnosti rozhodné pro poskytování dotace. Jedná se o případný zánik, transformaci, sloučení, změnu statutárního zástupce, přeměnu nebo zrušení příjemce s likvidací apod., či změnu vlastnického vztahu k věci, na níž se neinvestiční dotace poskytuje.</w:t>
      </w:r>
    </w:p>
    <w:p w:rsidR="00DB6B30" w:rsidRDefault="00DB6B30" w:rsidP="00DB6B30">
      <w:pPr>
        <w:spacing w:after="0" w:line="240" w:lineRule="auto"/>
        <w:jc w:val="both"/>
        <w:rPr>
          <w:rFonts w:ascii="Arial" w:hAnsi="Arial" w:cs="Arial"/>
        </w:rPr>
      </w:pPr>
    </w:p>
    <w:p w:rsidR="00DB6B30" w:rsidRDefault="00DB6B30" w:rsidP="00DB6B30">
      <w:pPr>
        <w:spacing w:after="0" w:line="240" w:lineRule="auto"/>
        <w:jc w:val="both"/>
        <w:rPr>
          <w:rFonts w:ascii="Arial" w:hAnsi="Arial" w:cs="Arial"/>
        </w:rPr>
      </w:pPr>
      <w:r>
        <w:rPr>
          <w:rFonts w:ascii="Arial" w:hAnsi="Arial" w:cs="Arial"/>
        </w:rPr>
        <w:t xml:space="preserve">3.8 Příjemce odpovídá za hospodárné použití poskytnutých prostředků v souladu s účelem dle odstavce 4.1 a zajistí ve svém účetnictví nebo daňové evidenci, v souladu s platnými obecně závaznými právními předpisy, zejména se zákonem č. 563/1991 Sb., o účetnictví, v platném znění a ve znění pozdějších předpisů, řádné a prokazatelně oddělené sledování poskytnuté neinvestiční dotace. </w:t>
      </w:r>
    </w:p>
    <w:p w:rsidR="00DB6B30" w:rsidRDefault="00DB6B30" w:rsidP="00DB6B30">
      <w:pPr>
        <w:spacing w:after="0" w:line="240" w:lineRule="auto"/>
        <w:jc w:val="both"/>
        <w:rPr>
          <w:rFonts w:ascii="Arial" w:hAnsi="Arial" w:cs="Arial"/>
        </w:rPr>
      </w:pPr>
    </w:p>
    <w:p w:rsidR="00DB6B30" w:rsidRDefault="00DB6B30" w:rsidP="00DB6B30">
      <w:pPr>
        <w:spacing w:after="0" w:line="240" w:lineRule="auto"/>
        <w:jc w:val="both"/>
        <w:rPr>
          <w:rFonts w:ascii="Arial" w:hAnsi="Arial" w:cs="Arial"/>
        </w:rPr>
      </w:pPr>
      <w:r>
        <w:rPr>
          <w:rFonts w:ascii="Arial" w:hAnsi="Arial" w:cs="Arial"/>
        </w:rPr>
        <w:t xml:space="preserve">3.9 Příjemce je oprávněn použít poskytnuté finanční prostředky nejpozději do </w:t>
      </w:r>
      <w:proofErr w:type="gramStart"/>
      <w:r>
        <w:rPr>
          <w:rFonts w:ascii="Arial" w:hAnsi="Arial" w:cs="Arial"/>
        </w:rPr>
        <w:t>31.12.2017</w:t>
      </w:r>
      <w:proofErr w:type="gramEnd"/>
      <w:r>
        <w:rPr>
          <w:rFonts w:ascii="Arial" w:hAnsi="Arial" w:cs="Arial"/>
        </w:rPr>
        <w:t>.</w:t>
      </w:r>
    </w:p>
    <w:p w:rsidR="00DB6B30" w:rsidRDefault="00DB6B30" w:rsidP="00DB6B30">
      <w:pPr>
        <w:spacing w:after="0" w:line="240" w:lineRule="auto"/>
        <w:jc w:val="both"/>
        <w:rPr>
          <w:rFonts w:ascii="Arial" w:hAnsi="Arial" w:cs="Arial"/>
        </w:rPr>
      </w:pPr>
    </w:p>
    <w:p w:rsidR="00DB6B30" w:rsidRDefault="00DB6B30" w:rsidP="00DB6B30">
      <w:pPr>
        <w:spacing w:after="0" w:line="240" w:lineRule="auto"/>
        <w:jc w:val="both"/>
        <w:rPr>
          <w:rFonts w:ascii="Arial" w:hAnsi="Arial" w:cs="Arial"/>
        </w:rPr>
      </w:pPr>
    </w:p>
    <w:p w:rsidR="00DB6B30" w:rsidRDefault="00DB6B30" w:rsidP="00DB6B30">
      <w:pPr>
        <w:spacing w:after="0" w:line="240" w:lineRule="auto"/>
        <w:jc w:val="center"/>
        <w:rPr>
          <w:rFonts w:ascii="Arial" w:hAnsi="Arial" w:cs="Arial"/>
          <w:b/>
        </w:rPr>
      </w:pPr>
      <w:r>
        <w:rPr>
          <w:rFonts w:ascii="Arial" w:hAnsi="Arial" w:cs="Arial"/>
          <w:b/>
        </w:rPr>
        <w:lastRenderedPageBreak/>
        <w:t>Článek 4</w:t>
      </w:r>
    </w:p>
    <w:p w:rsidR="00DB6B30" w:rsidRDefault="00DB6B30" w:rsidP="00DB6B30">
      <w:pPr>
        <w:spacing w:after="0" w:line="240" w:lineRule="auto"/>
        <w:jc w:val="center"/>
        <w:rPr>
          <w:rFonts w:ascii="Arial" w:hAnsi="Arial" w:cs="Arial"/>
          <w:b/>
        </w:rPr>
      </w:pPr>
      <w:r>
        <w:rPr>
          <w:rFonts w:ascii="Arial" w:hAnsi="Arial" w:cs="Arial"/>
          <w:b/>
        </w:rPr>
        <w:t>Kontrola</w:t>
      </w:r>
    </w:p>
    <w:p w:rsidR="00DB6B30" w:rsidRDefault="00DB6B30" w:rsidP="00DB6B30">
      <w:pPr>
        <w:spacing w:after="0" w:line="240" w:lineRule="auto"/>
        <w:jc w:val="center"/>
        <w:rPr>
          <w:rFonts w:ascii="Arial" w:hAnsi="Arial" w:cs="Arial"/>
          <w:b/>
        </w:rPr>
      </w:pPr>
    </w:p>
    <w:p w:rsidR="00DB6B30" w:rsidRDefault="00DB6B30" w:rsidP="00DB6B30">
      <w:pPr>
        <w:spacing w:after="0" w:line="240" w:lineRule="auto"/>
        <w:jc w:val="both"/>
        <w:rPr>
          <w:rFonts w:ascii="Arial" w:hAnsi="Arial" w:cs="Arial"/>
        </w:rPr>
      </w:pPr>
      <w:r>
        <w:rPr>
          <w:rFonts w:ascii="Arial" w:hAnsi="Arial" w:cs="Arial"/>
        </w:rPr>
        <w:t xml:space="preserve">4.1 Příslušné orgány poskytovatele jsou oprávněny v souladu se </w:t>
      </w:r>
      <w:proofErr w:type="spellStart"/>
      <w:r>
        <w:rPr>
          <w:rFonts w:ascii="Arial" w:hAnsi="Arial" w:cs="Arial"/>
        </w:rPr>
        <w:t>zál.č</w:t>
      </w:r>
      <w:proofErr w:type="spellEnd"/>
      <w:r>
        <w:rPr>
          <w:rFonts w:ascii="Arial" w:hAnsi="Arial" w:cs="Arial"/>
        </w:rPr>
        <w:t xml:space="preserve">. 320/2001 Sb., o finanční kontrole, v platném znění, </w:t>
      </w:r>
      <w:proofErr w:type="spellStart"/>
      <w:proofErr w:type="gramStart"/>
      <w:r>
        <w:rPr>
          <w:rFonts w:ascii="Arial" w:hAnsi="Arial" w:cs="Arial"/>
        </w:rPr>
        <w:t>zák.č</w:t>
      </w:r>
      <w:proofErr w:type="spellEnd"/>
      <w:r>
        <w:rPr>
          <w:rFonts w:ascii="Arial" w:hAnsi="Arial" w:cs="Arial"/>
        </w:rPr>
        <w:t>.</w:t>
      </w:r>
      <w:proofErr w:type="gramEnd"/>
      <w:r>
        <w:rPr>
          <w:rFonts w:ascii="Arial" w:hAnsi="Arial" w:cs="Arial"/>
        </w:rPr>
        <w:t xml:space="preserve"> 128/2000 Sb., o obcích, v platném znění a dle ZORP kdykoliv kontrolovat dodržení podmínek za kterých byla dotace poskytnuta.</w:t>
      </w:r>
    </w:p>
    <w:p w:rsidR="00DB6B30" w:rsidRDefault="00DB6B30" w:rsidP="00DB6B30">
      <w:pPr>
        <w:spacing w:after="0" w:line="240" w:lineRule="auto"/>
        <w:jc w:val="both"/>
        <w:rPr>
          <w:rFonts w:ascii="Arial" w:hAnsi="Arial" w:cs="Arial"/>
        </w:rPr>
      </w:pPr>
    </w:p>
    <w:p w:rsidR="00DB6B30" w:rsidRDefault="00DB6B30" w:rsidP="00DB6B30">
      <w:pPr>
        <w:spacing w:after="0" w:line="240" w:lineRule="auto"/>
        <w:jc w:val="both"/>
        <w:rPr>
          <w:rFonts w:ascii="Arial" w:hAnsi="Arial" w:cs="Arial"/>
        </w:rPr>
      </w:pPr>
      <w:r>
        <w:rPr>
          <w:rFonts w:ascii="Arial" w:hAnsi="Arial" w:cs="Arial"/>
        </w:rPr>
        <w:t>4.2 Příjemce je povinen poskytnout veškerou součinnost při výkonu kontrolní činnosti dle odst. 1 tohoto článku, zejména předložit kontrolním orgánům poskytovatele kdykoliv k nahlédnutí originály všech účetních dokladů prokazujících využití prostředků v souladu s účelem poskytnutí dotace.</w:t>
      </w:r>
    </w:p>
    <w:p w:rsidR="00DB6B30" w:rsidRDefault="00DB6B30" w:rsidP="00DB6B30">
      <w:pPr>
        <w:spacing w:after="0" w:line="240" w:lineRule="auto"/>
        <w:jc w:val="both"/>
        <w:rPr>
          <w:rFonts w:ascii="Arial" w:hAnsi="Arial" w:cs="Arial"/>
        </w:rPr>
      </w:pPr>
    </w:p>
    <w:p w:rsidR="00DB6B30" w:rsidRDefault="00DB6B30" w:rsidP="00DB6B30">
      <w:pPr>
        <w:spacing w:after="0" w:line="240" w:lineRule="auto"/>
        <w:jc w:val="both"/>
        <w:rPr>
          <w:rFonts w:ascii="Arial" w:hAnsi="Arial" w:cs="Arial"/>
        </w:rPr>
      </w:pPr>
      <w:r>
        <w:rPr>
          <w:rFonts w:ascii="Arial" w:hAnsi="Arial" w:cs="Arial"/>
        </w:rPr>
        <w:t>4.3 Příjemce je povinen poskytovateli umožnit provedení kontroly jak v průběhu čerpání dotace, tak i ve lhůtě následujících 5 let od poskytnutí dotace.</w:t>
      </w:r>
    </w:p>
    <w:p w:rsidR="00DB6B30" w:rsidRPr="0052023B" w:rsidRDefault="00DB6B30" w:rsidP="00DB6B30">
      <w:pPr>
        <w:spacing w:after="0" w:line="240" w:lineRule="auto"/>
        <w:jc w:val="both"/>
        <w:rPr>
          <w:rFonts w:ascii="Arial" w:hAnsi="Arial" w:cs="Arial"/>
        </w:rPr>
      </w:pPr>
    </w:p>
    <w:p w:rsidR="00DB6B30" w:rsidRDefault="00DB6B30" w:rsidP="00DB6B30">
      <w:pPr>
        <w:spacing w:after="0" w:line="240" w:lineRule="auto"/>
        <w:jc w:val="center"/>
        <w:rPr>
          <w:rFonts w:ascii="Arial" w:hAnsi="Arial" w:cs="Arial"/>
          <w:b/>
        </w:rPr>
      </w:pPr>
      <w:r>
        <w:rPr>
          <w:rFonts w:ascii="Arial" w:hAnsi="Arial" w:cs="Arial"/>
          <w:b/>
        </w:rPr>
        <w:t>Článek 5</w:t>
      </w:r>
    </w:p>
    <w:p w:rsidR="00DB6B30" w:rsidRDefault="00DB6B30" w:rsidP="00DB6B30">
      <w:pPr>
        <w:spacing w:after="0" w:line="240" w:lineRule="auto"/>
        <w:jc w:val="center"/>
        <w:rPr>
          <w:rFonts w:ascii="Arial" w:hAnsi="Arial" w:cs="Arial"/>
          <w:b/>
        </w:rPr>
      </w:pPr>
      <w:r>
        <w:rPr>
          <w:rFonts w:ascii="Arial" w:hAnsi="Arial" w:cs="Arial"/>
          <w:b/>
        </w:rPr>
        <w:t>Porušení rozpočtové kázně</w:t>
      </w:r>
    </w:p>
    <w:p w:rsidR="00DB6B30" w:rsidRDefault="00DB6B30" w:rsidP="00DB6B30">
      <w:pPr>
        <w:spacing w:after="0" w:line="240" w:lineRule="auto"/>
        <w:jc w:val="center"/>
        <w:rPr>
          <w:rFonts w:ascii="Arial" w:hAnsi="Arial" w:cs="Arial"/>
          <w:b/>
        </w:rPr>
      </w:pPr>
    </w:p>
    <w:p w:rsidR="00DB6B30" w:rsidRDefault="00DB6B30" w:rsidP="00DB6B30">
      <w:pPr>
        <w:spacing w:after="0" w:line="240" w:lineRule="auto"/>
        <w:jc w:val="both"/>
        <w:rPr>
          <w:rFonts w:ascii="Arial" w:hAnsi="Arial" w:cs="Arial"/>
        </w:rPr>
      </w:pPr>
      <w:r>
        <w:rPr>
          <w:rFonts w:ascii="Arial" w:hAnsi="Arial" w:cs="Arial"/>
        </w:rPr>
        <w:t xml:space="preserve">5.1 Porušením rozpočtové kázně je každé neoprávněné použití nebo zadržení peněžních prostředků poskytnutých jako dotace (§ 22 odst. 1 až 3 zákona č. 250/2000 Sb.). V případě, že se příjemce dopustí porušení rozpočtové kázně tím, že neoprávněně použije nebo zadrží poskytnutou dotaci, bude poskytovatel postupovat dle § 22 zákona č. 250/2000 Sb. a bude příjemci uložen odvod včetně penále za prodlení s odvodem ve výši stanovené platnými právními </w:t>
      </w:r>
      <w:proofErr w:type="gramStart"/>
      <w:r>
        <w:rPr>
          <w:rFonts w:ascii="Arial" w:hAnsi="Arial" w:cs="Arial"/>
        </w:rPr>
        <w:t>předpisy  a touto</w:t>
      </w:r>
      <w:proofErr w:type="gramEnd"/>
      <w:r>
        <w:rPr>
          <w:rFonts w:ascii="Arial" w:hAnsi="Arial" w:cs="Arial"/>
        </w:rPr>
        <w:t xml:space="preserve"> smlouvou.</w:t>
      </w:r>
    </w:p>
    <w:p w:rsidR="00DB6B30" w:rsidRDefault="00DB6B30" w:rsidP="00DB6B30">
      <w:pPr>
        <w:spacing w:after="0" w:line="240" w:lineRule="auto"/>
        <w:jc w:val="both"/>
        <w:rPr>
          <w:rFonts w:ascii="Arial" w:hAnsi="Arial" w:cs="Arial"/>
        </w:rPr>
      </w:pPr>
    </w:p>
    <w:p w:rsidR="00DB6B30" w:rsidRDefault="00DB6B30" w:rsidP="00DB6B30">
      <w:pPr>
        <w:spacing w:after="0" w:line="240" w:lineRule="auto"/>
        <w:jc w:val="both"/>
        <w:rPr>
          <w:rFonts w:ascii="Arial" w:hAnsi="Arial" w:cs="Arial"/>
        </w:rPr>
      </w:pPr>
      <w:r>
        <w:rPr>
          <w:rFonts w:ascii="Arial" w:hAnsi="Arial" w:cs="Arial"/>
        </w:rPr>
        <w:t>5.2 Pokud příjemce předloží závěrečnou zprávu včetně finančního vypořádání v termínu stanoveném ve smlouvě, ale finanční vypořádání nebo závěrečná zpráva nebudou obsahovat všechny náležitosti stanovené ve smlouvě, dopustí se příjemce porušení rozpočtové kázně až v případě, že nedoplní neúplnou závěrečnou zprávu nebo finanční vypořádání ani po marném uplynutí náhradní lhůty 10 dnů ode dne doručení výzvy poskytovatele k nápravě.</w:t>
      </w:r>
    </w:p>
    <w:p w:rsidR="00DB6B30" w:rsidRDefault="00DB6B30" w:rsidP="00DB6B30">
      <w:pPr>
        <w:spacing w:after="0" w:line="240" w:lineRule="auto"/>
        <w:jc w:val="both"/>
        <w:rPr>
          <w:rFonts w:ascii="Arial" w:hAnsi="Arial" w:cs="Arial"/>
        </w:rPr>
      </w:pPr>
    </w:p>
    <w:p w:rsidR="00DB6B30" w:rsidRDefault="00DB6B30" w:rsidP="00DB6B30">
      <w:pPr>
        <w:spacing w:after="0" w:line="240" w:lineRule="auto"/>
        <w:jc w:val="both"/>
        <w:rPr>
          <w:rFonts w:ascii="Arial" w:hAnsi="Arial" w:cs="Arial"/>
        </w:rPr>
      </w:pPr>
      <w:r>
        <w:rPr>
          <w:rFonts w:ascii="Arial" w:hAnsi="Arial" w:cs="Arial"/>
        </w:rPr>
        <w:t>5.3 V případě porušení rozpočtové kázně, které poskytovatel považuje za méně závažné, bude vždy uložen odvod za tato porušení procentem z celkové částky poskytnuté dotace následovně:</w:t>
      </w:r>
    </w:p>
    <w:p w:rsidR="00DB6B30" w:rsidRDefault="00DB6B30" w:rsidP="00DB6B30">
      <w:pPr>
        <w:spacing w:after="0" w:line="240" w:lineRule="auto"/>
        <w:jc w:val="both"/>
        <w:rPr>
          <w:rFonts w:ascii="Arial" w:hAnsi="Arial" w:cs="Arial"/>
        </w:rPr>
      </w:pPr>
    </w:p>
    <w:p w:rsidR="00DB6B30" w:rsidRDefault="00DB6B30" w:rsidP="00DB6B30">
      <w:pPr>
        <w:spacing w:after="0" w:line="240" w:lineRule="auto"/>
        <w:jc w:val="both"/>
        <w:rPr>
          <w:rFonts w:ascii="Arial" w:hAnsi="Arial" w:cs="Arial"/>
        </w:rPr>
      </w:pPr>
      <w:r>
        <w:rPr>
          <w:rFonts w:ascii="Arial" w:hAnsi="Arial" w:cs="Arial"/>
        </w:rPr>
        <w:t>a) předložení závěrečné zprávy do 15 kalendářních dnů po lhůtě stanovené smlouvou – výše odvodu činí 5 %.</w:t>
      </w:r>
    </w:p>
    <w:p w:rsidR="00DB6B30" w:rsidRDefault="00DB6B30" w:rsidP="00DB6B30">
      <w:pPr>
        <w:spacing w:after="0" w:line="240" w:lineRule="auto"/>
        <w:jc w:val="both"/>
        <w:rPr>
          <w:rFonts w:ascii="Arial" w:hAnsi="Arial" w:cs="Arial"/>
        </w:rPr>
      </w:pPr>
    </w:p>
    <w:p w:rsidR="00DB6B30" w:rsidRDefault="00DB6B30" w:rsidP="00DB6B30">
      <w:pPr>
        <w:spacing w:after="0" w:line="240" w:lineRule="auto"/>
        <w:jc w:val="both"/>
        <w:rPr>
          <w:rFonts w:ascii="Arial" w:hAnsi="Arial" w:cs="Arial"/>
        </w:rPr>
      </w:pPr>
      <w:r>
        <w:rPr>
          <w:rFonts w:ascii="Arial" w:hAnsi="Arial" w:cs="Arial"/>
        </w:rPr>
        <w:t>b) předložení závěrečné zprávy do 30 kalendářních dnů po lhůtě stanovené smlouvou – výše odvodu činí 10 %.</w:t>
      </w:r>
    </w:p>
    <w:p w:rsidR="00DB6B30" w:rsidRDefault="00DB6B30" w:rsidP="00DB6B30">
      <w:pPr>
        <w:spacing w:after="0" w:line="240" w:lineRule="auto"/>
        <w:jc w:val="both"/>
        <w:rPr>
          <w:rFonts w:ascii="Arial" w:hAnsi="Arial" w:cs="Arial"/>
        </w:rPr>
      </w:pPr>
    </w:p>
    <w:p w:rsidR="00DB6B30" w:rsidRDefault="00DB6B30" w:rsidP="00DB6B30">
      <w:pPr>
        <w:spacing w:after="0" w:line="240" w:lineRule="auto"/>
        <w:jc w:val="both"/>
        <w:rPr>
          <w:rFonts w:ascii="Arial" w:hAnsi="Arial" w:cs="Arial"/>
        </w:rPr>
      </w:pPr>
      <w:r>
        <w:rPr>
          <w:rFonts w:ascii="Arial" w:hAnsi="Arial" w:cs="Arial"/>
        </w:rPr>
        <w:t xml:space="preserve">c) předložení doplněné závěrečné zprávy do 15 kalendářních dnů od uplynutí náhradní lhůty uvedené ve výzvě poskytovatele dle odst. 2 tohoto </w:t>
      </w:r>
      <w:proofErr w:type="gramStart"/>
      <w:r>
        <w:rPr>
          <w:rFonts w:ascii="Arial" w:hAnsi="Arial" w:cs="Arial"/>
        </w:rPr>
        <w:t>článku  – výše</w:t>
      </w:r>
      <w:proofErr w:type="gramEnd"/>
      <w:r>
        <w:rPr>
          <w:rFonts w:ascii="Arial" w:hAnsi="Arial" w:cs="Arial"/>
        </w:rPr>
        <w:t xml:space="preserve"> odvodu činí 3 %.</w:t>
      </w:r>
    </w:p>
    <w:p w:rsidR="00DB6B30" w:rsidRDefault="00DB6B30" w:rsidP="00DB6B30">
      <w:pPr>
        <w:spacing w:after="0" w:line="240" w:lineRule="auto"/>
        <w:jc w:val="both"/>
        <w:rPr>
          <w:rFonts w:ascii="Arial" w:hAnsi="Arial" w:cs="Arial"/>
        </w:rPr>
      </w:pPr>
    </w:p>
    <w:p w:rsidR="00DB6B30" w:rsidRDefault="00DB6B30" w:rsidP="00DB6B30">
      <w:pPr>
        <w:spacing w:after="0" w:line="240" w:lineRule="auto"/>
        <w:jc w:val="both"/>
        <w:rPr>
          <w:rFonts w:ascii="Arial" w:hAnsi="Arial" w:cs="Arial"/>
        </w:rPr>
      </w:pPr>
      <w:r>
        <w:rPr>
          <w:rFonts w:ascii="Arial" w:hAnsi="Arial" w:cs="Arial"/>
        </w:rPr>
        <w:t xml:space="preserve">d) předložení doplněné závěrečné zprávy do 30 kalendářních dnů od uplynutí náhradní lhůty uvedené ve výzvě poskytovatele dle odst. 2 tohoto </w:t>
      </w:r>
      <w:proofErr w:type="gramStart"/>
      <w:r>
        <w:rPr>
          <w:rFonts w:ascii="Arial" w:hAnsi="Arial" w:cs="Arial"/>
        </w:rPr>
        <w:t>článku  – výše</w:t>
      </w:r>
      <w:proofErr w:type="gramEnd"/>
      <w:r>
        <w:rPr>
          <w:rFonts w:ascii="Arial" w:hAnsi="Arial" w:cs="Arial"/>
        </w:rPr>
        <w:t xml:space="preserve"> odvodu činí 6 %.</w:t>
      </w:r>
    </w:p>
    <w:p w:rsidR="00DB6B30" w:rsidRDefault="00DB6B30" w:rsidP="00DB6B30">
      <w:pPr>
        <w:spacing w:after="0" w:line="240" w:lineRule="auto"/>
        <w:jc w:val="both"/>
        <w:rPr>
          <w:rFonts w:ascii="Arial" w:hAnsi="Arial" w:cs="Arial"/>
        </w:rPr>
      </w:pPr>
    </w:p>
    <w:p w:rsidR="00DB6B30" w:rsidRDefault="00DB6B30" w:rsidP="00DB6B30">
      <w:pPr>
        <w:spacing w:after="0" w:line="240" w:lineRule="auto"/>
        <w:jc w:val="both"/>
        <w:rPr>
          <w:rFonts w:ascii="Arial" w:hAnsi="Arial" w:cs="Arial"/>
        </w:rPr>
      </w:pPr>
      <w:r>
        <w:rPr>
          <w:rFonts w:ascii="Arial" w:hAnsi="Arial" w:cs="Arial"/>
        </w:rPr>
        <w:t>e) nedodržení povinnosti vést dotaci v odděleném účetnictví – výše odvodu činí 10 %.</w:t>
      </w:r>
    </w:p>
    <w:p w:rsidR="00DB6B30" w:rsidRDefault="00DB6B30" w:rsidP="00DB6B30">
      <w:pPr>
        <w:spacing w:after="0" w:line="240" w:lineRule="auto"/>
        <w:jc w:val="both"/>
        <w:rPr>
          <w:rFonts w:ascii="Arial" w:hAnsi="Arial" w:cs="Arial"/>
        </w:rPr>
      </w:pPr>
    </w:p>
    <w:p w:rsidR="00DB6B30" w:rsidRDefault="00DB6B30" w:rsidP="00DB6B30">
      <w:pPr>
        <w:spacing w:after="0" w:line="240" w:lineRule="auto"/>
        <w:jc w:val="both"/>
        <w:rPr>
          <w:rFonts w:ascii="Arial" w:hAnsi="Arial" w:cs="Arial"/>
        </w:rPr>
      </w:pPr>
      <w:r>
        <w:rPr>
          <w:rFonts w:ascii="Arial" w:hAnsi="Arial" w:cs="Arial"/>
        </w:rPr>
        <w:t>f) nedodržení povinnosti označovat originály účetních dokladů informací o tom, že je projekt financován městem Litvínovem – výše odvodu činí 10 %.</w:t>
      </w:r>
    </w:p>
    <w:p w:rsidR="00DB6B30" w:rsidRDefault="00DB6B30" w:rsidP="00DB6B30">
      <w:pPr>
        <w:spacing w:after="0" w:line="240" w:lineRule="auto"/>
        <w:jc w:val="both"/>
        <w:rPr>
          <w:rFonts w:ascii="Arial" w:hAnsi="Arial" w:cs="Arial"/>
        </w:rPr>
      </w:pPr>
    </w:p>
    <w:p w:rsidR="00DB6B30" w:rsidRDefault="00DB6B30" w:rsidP="00DB6B30">
      <w:pPr>
        <w:spacing w:after="0" w:line="240" w:lineRule="auto"/>
        <w:jc w:val="both"/>
        <w:rPr>
          <w:rFonts w:ascii="Arial" w:hAnsi="Arial" w:cs="Arial"/>
        </w:rPr>
      </w:pPr>
      <w:r>
        <w:rPr>
          <w:rFonts w:ascii="Arial" w:hAnsi="Arial" w:cs="Arial"/>
        </w:rPr>
        <w:t xml:space="preserve">5.4 Odvody za porušení rozpočtové kázně při použití téže dotace se sčítají, s výjimkou odvodů za porušení rozpočtové kázně porušením pravidel pro zadávání veřejných zakázek. </w:t>
      </w:r>
      <w:r>
        <w:rPr>
          <w:rFonts w:ascii="Arial" w:hAnsi="Arial" w:cs="Arial"/>
        </w:rPr>
        <w:lastRenderedPageBreak/>
        <w:t xml:space="preserve">Za porušení pravidel pro zadávání veřejných zakázek se uloží odvod ve výši nejzávažnějšího porušení těchto pravidel u stejné zakázky. Při neoprávněném použití peněžních prostředků dle § 22 odst. 2 písm. a) nebo b) zákona č. 250/2000 Sb., odpovídá odvod za porušení rozpočtové kázně výši poskytovaných prostředků, mimo případů, kdy se podle této smlouvy (odst. 3 tohoto článku) za porušení méně závažné povinnosti uloží odvod nižší. Při porušení několika méně závažných povinností se odvody za porušení rozpočtové kázně sčítají. Odvody za porušení rozpočtové kázně lze uložit pouze do výše peněžních prostředků poskytnutých ke dni porušení rozpočtové kázně. Při podezření na porušení rozpočtové kázně může poskytovatel pozastavit poskytnutí peněžních prostředků, a to až do výše předpokládaného odvodu. Pokud město uloží odvod za porušení rozpočtové kázně, v rozhodnutí uvede, že z uloženého odvodu bude odvedena pouze částka ve výši rozdílu mezi uloženým odvodem a peněžními prostředky neposkytnutými z důvodu podezření na porušení rozpočtové kázně. Pokud město odvod neuloží, poskytovatel poskytne pozastavené peněžní prostředky příjemci. </w:t>
      </w:r>
    </w:p>
    <w:p w:rsidR="00DB6B30" w:rsidRPr="0014738D" w:rsidRDefault="00DB6B30" w:rsidP="00DB6B30">
      <w:pPr>
        <w:spacing w:after="0" w:line="240" w:lineRule="auto"/>
        <w:jc w:val="both"/>
        <w:rPr>
          <w:rFonts w:ascii="Arial" w:hAnsi="Arial" w:cs="Arial"/>
        </w:rPr>
      </w:pPr>
    </w:p>
    <w:p w:rsidR="00DB6B30" w:rsidRDefault="00DB6B30" w:rsidP="00DB6B30">
      <w:pPr>
        <w:spacing w:after="0" w:line="240" w:lineRule="auto"/>
        <w:jc w:val="center"/>
        <w:rPr>
          <w:rFonts w:ascii="Arial" w:hAnsi="Arial" w:cs="Arial"/>
          <w:b/>
        </w:rPr>
      </w:pPr>
    </w:p>
    <w:p w:rsidR="00DB6B30" w:rsidRDefault="00DB6B30" w:rsidP="00DB6B30">
      <w:pPr>
        <w:spacing w:after="0" w:line="240" w:lineRule="auto"/>
        <w:jc w:val="center"/>
        <w:rPr>
          <w:rFonts w:ascii="Arial" w:hAnsi="Arial" w:cs="Arial"/>
          <w:b/>
        </w:rPr>
      </w:pPr>
    </w:p>
    <w:p w:rsidR="005D0C1B" w:rsidRDefault="005D0C1B" w:rsidP="005D0C1B">
      <w:pPr>
        <w:spacing w:after="0" w:line="240" w:lineRule="auto"/>
        <w:jc w:val="center"/>
        <w:rPr>
          <w:rFonts w:ascii="Arial" w:hAnsi="Arial" w:cs="Arial"/>
          <w:b/>
        </w:rPr>
      </w:pPr>
      <w:r>
        <w:rPr>
          <w:rFonts w:ascii="Arial" w:hAnsi="Arial" w:cs="Arial"/>
          <w:b/>
        </w:rPr>
        <w:t>Článek 6</w:t>
      </w:r>
    </w:p>
    <w:p w:rsidR="005D0C1B" w:rsidRDefault="005D0C1B" w:rsidP="005D0C1B">
      <w:pPr>
        <w:spacing w:after="0" w:line="240" w:lineRule="auto"/>
        <w:jc w:val="center"/>
        <w:rPr>
          <w:rFonts w:ascii="Arial" w:hAnsi="Arial" w:cs="Arial"/>
          <w:b/>
        </w:rPr>
      </w:pPr>
      <w:r>
        <w:rPr>
          <w:rFonts w:ascii="Arial" w:hAnsi="Arial" w:cs="Arial"/>
          <w:b/>
        </w:rPr>
        <w:t xml:space="preserve">Závěrečná ustanovení </w:t>
      </w:r>
    </w:p>
    <w:p w:rsidR="005D0C1B" w:rsidRDefault="005D0C1B" w:rsidP="005D0C1B">
      <w:pPr>
        <w:spacing w:after="0" w:line="240" w:lineRule="auto"/>
        <w:jc w:val="center"/>
        <w:rPr>
          <w:rFonts w:ascii="Arial" w:hAnsi="Arial" w:cs="Arial"/>
          <w:b/>
        </w:rPr>
      </w:pPr>
    </w:p>
    <w:p w:rsidR="005D0C1B" w:rsidRDefault="005D0C1B" w:rsidP="005D0C1B">
      <w:pPr>
        <w:spacing w:after="0" w:line="240" w:lineRule="auto"/>
        <w:jc w:val="both"/>
        <w:rPr>
          <w:rFonts w:ascii="Arial" w:hAnsi="Arial" w:cs="Arial"/>
        </w:rPr>
      </w:pPr>
      <w:r>
        <w:rPr>
          <w:rFonts w:ascii="Arial" w:hAnsi="Arial" w:cs="Arial"/>
        </w:rPr>
        <w:t>6.1. Vztahy, neupravené touto smlouvou se řídí příslušnými ustanoveními obecně závazných platných právních předpisů.</w:t>
      </w:r>
    </w:p>
    <w:p w:rsidR="005D0C1B" w:rsidRDefault="005D0C1B" w:rsidP="005D0C1B">
      <w:pPr>
        <w:spacing w:after="0" w:line="240" w:lineRule="auto"/>
        <w:jc w:val="both"/>
        <w:rPr>
          <w:rFonts w:ascii="Arial" w:hAnsi="Arial" w:cs="Arial"/>
        </w:rPr>
      </w:pPr>
    </w:p>
    <w:p w:rsidR="005D0C1B" w:rsidRDefault="005D0C1B" w:rsidP="005D0C1B">
      <w:pPr>
        <w:spacing w:after="0" w:line="240" w:lineRule="auto"/>
        <w:jc w:val="both"/>
        <w:rPr>
          <w:rFonts w:ascii="Arial" w:hAnsi="Arial" w:cs="Arial"/>
        </w:rPr>
      </w:pPr>
      <w:r>
        <w:rPr>
          <w:rFonts w:ascii="Arial" w:hAnsi="Arial" w:cs="Arial"/>
        </w:rPr>
        <w:t>6.2 Jakékoliv změny této smlouvy lze provádět pouze formou písemných, postupně číslovaných dodatků, na základě dohody smluvních stran.</w:t>
      </w:r>
    </w:p>
    <w:p w:rsidR="005D0C1B" w:rsidRDefault="005D0C1B" w:rsidP="005D0C1B">
      <w:pPr>
        <w:spacing w:after="0" w:line="240" w:lineRule="auto"/>
        <w:jc w:val="both"/>
        <w:rPr>
          <w:rFonts w:ascii="Arial" w:hAnsi="Arial" w:cs="Arial"/>
        </w:rPr>
      </w:pPr>
    </w:p>
    <w:p w:rsidR="005D0C1B" w:rsidRPr="0078072C" w:rsidRDefault="005D0C1B" w:rsidP="005D0C1B">
      <w:pPr>
        <w:spacing w:after="0" w:line="240" w:lineRule="auto"/>
        <w:jc w:val="both"/>
        <w:rPr>
          <w:rFonts w:ascii="Arial" w:hAnsi="Arial" w:cs="Arial"/>
        </w:rPr>
      </w:pPr>
      <w:r>
        <w:rPr>
          <w:rFonts w:ascii="Arial" w:hAnsi="Arial" w:cs="Arial"/>
        </w:rPr>
        <w:t xml:space="preserve">6.3 </w:t>
      </w:r>
      <w:r w:rsidRPr="0078072C">
        <w:rPr>
          <w:rFonts w:ascii="Arial" w:hAnsi="Arial" w:cs="Arial"/>
        </w:rPr>
        <w:t xml:space="preserve">Smluvní strany souhlasí s tím, aby tato Smlouva </w:t>
      </w:r>
      <w:r>
        <w:rPr>
          <w:rFonts w:ascii="Arial" w:hAnsi="Arial" w:cs="Arial"/>
        </w:rPr>
        <w:t>KT/</w:t>
      </w:r>
      <w:r w:rsidR="007865CA">
        <w:rPr>
          <w:rFonts w:ascii="Arial" w:hAnsi="Arial" w:cs="Arial"/>
        </w:rPr>
        <w:t>9007/16</w:t>
      </w:r>
      <w:r>
        <w:rPr>
          <w:rFonts w:ascii="Arial" w:hAnsi="Arial" w:cs="Arial"/>
        </w:rPr>
        <w:t xml:space="preserve"> </w:t>
      </w:r>
      <w:r w:rsidRPr="0078072C">
        <w:rPr>
          <w:rFonts w:ascii="Arial" w:hAnsi="Arial" w:cs="Arial"/>
        </w:rPr>
        <w:t xml:space="preserve">byla vedena v evidenci smluv vedené městem Litvínov, která bude přístupná dle zákona č. 106/1999 Sb., o svobodném přístupu k informacím, a která obsahuje údaje o smluvních stranách, předmětu smlouvy, číselné označení smlouvy a datum jejího uzavření. </w:t>
      </w:r>
    </w:p>
    <w:p w:rsidR="005D0C1B" w:rsidRPr="0078072C" w:rsidRDefault="005D0C1B" w:rsidP="005D0C1B">
      <w:pPr>
        <w:spacing w:after="0" w:line="240" w:lineRule="auto"/>
        <w:jc w:val="both"/>
        <w:rPr>
          <w:rFonts w:ascii="Arial" w:hAnsi="Arial" w:cs="Arial"/>
        </w:rPr>
      </w:pPr>
    </w:p>
    <w:p w:rsidR="005D0C1B" w:rsidRPr="0078072C" w:rsidRDefault="005D0C1B" w:rsidP="005D0C1B">
      <w:pPr>
        <w:spacing w:after="0" w:line="240" w:lineRule="auto"/>
        <w:jc w:val="both"/>
        <w:rPr>
          <w:rFonts w:ascii="Arial" w:hAnsi="Arial" w:cs="Arial"/>
        </w:rPr>
      </w:pPr>
      <w:r>
        <w:rPr>
          <w:rFonts w:ascii="Arial" w:hAnsi="Arial" w:cs="Arial"/>
        </w:rPr>
        <w:t xml:space="preserve">6.4 </w:t>
      </w:r>
      <w:r w:rsidRPr="0078072C">
        <w:rPr>
          <w:rFonts w:ascii="Arial" w:hAnsi="Arial" w:cs="Arial"/>
        </w:rPr>
        <w:t xml:space="preserve">Smluvní strany prohlašují, že skutečnosti uvedené v této Smlouvě nepovažují za obchodní tajemství a udělují svolení k jejich zpřístupnění ve smyslu zákona č. 106/1999 Sb., o svobodném přístupu k informacím. </w:t>
      </w:r>
    </w:p>
    <w:p w:rsidR="005D0C1B" w:rsidRPr="0078072C" w:rsidRDefault="005D0C1B" w:rsidP="005D0C1B">
      <w:pPr>
        <w:spacing w:after="0" w:line="240" w:lineRule="auto"/>
        <w:jc w:val="both"/>
        <w:rPr>
          <w:rFonts w:ascii="Arial" w:hAnsi="Arial" w:cs="Arial"/>
        </w:rPr>
      </w:pPr>
    </w:p>
    <w:p w:rsidR="005D0C1B" w:rsidRPr="0078072C" w:rsidRDefault="005D0C1B" w:rsidP="005D0C1B">
      <w:pPr>
        <w:spacing w:after="0" w:line="240" w:lineRule="auto"/>
        <w:jc w:val="both"/>
        <w:rPr>
          <w:rFonts w:ascii="Arial" w:hAnsi="Arial" w:cs="Arial"/>
        </w:rPr>
      </w:pPr>
      <w:r>
        <w:rPr>
          <w:rFonts w:ascii="Arial" w:hAnsi="Arial" w:cs="Arial"/>
        </w:rPr>
        <w:t xml:space="preserve">6.5 </w:t>
      </w:r>
      <w:r w:rsidRPr="0078072C">
        <w:rPr>
          <w:rFonts w:ascii="Arial" w:hAnsi="Arial" w:cs="Arial"/>
        </w:rPr>
        <w:t xml:space="preserve">Tato Smlouva bude v plném rozsahu uveřejněna v informačním systému registru smluv </w:t>
      </w:r>
      <w:r>
        <w:rPr>
          <w:rFonts w:ascii="Arial" w:hAnsi="Arial" w:cs="Arial"/>
        </w:rPr>
        <w:t>d</w:t>
      </w:r>
      <w:r w:rsidRPr="0078072C">
        <w:rPr>
          <w:rFonts w:ascii="Arial" w:hAnsi="Arial" w:cs="Arial"/>
        </w:rPr>
        <w:t>le zákona č. 340/2015 Sb., o registru smluv.</w:t>
      </w:r>
    </w:p>
    <w:p w:rsidR="005D0C1B" w:rsidRPr="0078072C" w:rsidRDefault="005D0C1B" w:rsidP="005D0C1B">
      <w:pPr>
        <w:spacing w:after="0" w:line="240" w:lineRule="auto"/>
        <w:jc w:val="both"/>
        <w:rPr>
          <w:rFonts w:ascii="Arial" w:hAnsi="Arial" w:cs="Arial"/>
        </w:rPr>
      </w:pPr>
    </w:p>
    <w:p w:rsidR="005D0C1B" w:rsidRDefault="005D0C1B" w:rsidP="005D0C1B">
      <w:pPr>
        <w:spacing w:after="0" w:line="240" w:lineRule="auto"/>
        <w:jc w:val="both"/>
        <w:rPr>
          <w:rFonts w:ascii="Arial" w:hAnsi="Arial" w:cs="Arial"/>
        </w:rPr>
      </w:pPr>
      <w:r>
        <w:rPr>
          <w:rFonts w:ascii="Arial" w:hAnsi="Arial" w:cs="Arial"/>
        </w:rPr>
        <w:t xml:space="preserve">6.6 </w:t>
      </w:r>
      <w:r w:rsidRPr="0078072C">
        <w:rPr>
          <w:rFonts w:ascii="Arial" w:hAnsi="Arial" w:cs="Arial"/>
        </w:rPr>
        <w:t>Tato Smlouva nabývá účinnosti dnem, kdy město Litvínov uveřejní Smlouvu v informačním systému registru</w:t>
      </w:r>
      <w:r>
        <w:rPr>
          <w:rFonts w:ascii="Arial" w:hAnsi="Arial" w:cs="Arial"/>
        </w:rPr>
        <w:t xml:space="preserve"> smluv</w:t>
      </w:r>
      <w:r w:rsidRPr="0078072C">
        <w:rPr>
          <w:rFonts w:ascii="Arial" w:hAnsi="Arial" w:cs="Arial"/>
        </w:rPr>
        <w:t>.</w:t>
      </w:r>
    </w:p>
    <w:p w:rsidR="005D0C1B" w:rsidRDefault="005D0C1B" w:rsidP="005D0C1B">
      <w:pPr>
        <w:spacing w:after="0" w:line="240" w:lineRule="auto"/>
        <w:jc w:val="both"/>
        <w:rPr>
          <w:rFonts w:ascii="Arial" w:hAnsi="Arial" w:cs="Arial"/>
        </w:rPr>
      </w:pPr>
    </w:p>
    <w:p w:rsidR="005D0C1B" w:rsidRDefault="005D0C1B" w:rsidP="005D0C1B">
      <w:pPr>
        <w:spacing w:after="0" w:line="240" w:lineRule="auto"/>
        <w:jc w:val="both"/>
        <w:rPr>
          <w:rFonts w:ascii="Arial" w:hAnsi="Arial" w:cs="Arial"/>
        </w:rPr>
      </w:pPr>
      <w:r>
        <w:rPr>
          <w:rFonts w:ascii="Arial" w:hAnsi="Arial" w:cs="Arial"/>
        </w:rPr>
        <w:t xml:space="preserve">6.7 Tato Smlouva nabývá platnosti dnem podpisu smluvních stran a  zahájením poskytování dotace dle splátkového kalendáře, uvedeného v článku 3 </w:t>
      </w:r>
      <w:proofErr w:type="gramStart"/>
      <w:r>
        <w:rPr>
          <w:rFonts w:ascii="Arial" w:hAnsi="Arial" w:cs="Arial"/>
        </w:rPr>
        <w:t>této</w:t>
      </w:r>
      <w:proofErr w:type="gramEnd"/>
      <w:r>
        <w:rPr>
          <w:rFonts w:ascii="Arial" w:hAnsi="Arial" w:cs="Arial"/>
        </w:rPr>
        <w:t xml:space="preserve"> smlouvy. Je vyhotovena ve třech stejnopisech, z nichž dvě vyhotovení obdrží poskytovatel a jedno vyhotovení příjemce.</w:t>
      </w:r>
    </w:p>
    <w:p w:rsidR="005D0C1B" w:rsidRDefault="005D0C1B" w:rsidP="005D0C1B">
      <w:pPr>
        <w:spacing w:after="0" w:line="240" w:lineRule="auto"/>
        <w:jc w:val="both"/>
        <w:rPr>
          <w:rFonts w:ascii="Arial" w:hAnsi="Arial" w:cs="Arial"/>
        </w:rPr>
      </w:pPr>
    </w:p>
    <w:p w:rsidR="005D0C1B" w:rsidRDefault="005D0C1B" w:rsidP="005D0C1B">
      <w:pPr>
        <w:spacing w:after="0" w:line="240" w:lineRule="auto"/>
        <w:jc w:val="both"/>
        <w:rPr>
          <w:rFonts w:ascii="Arial" w:hAnsi="Arial" w:cs="Arial"/>
        </w:rPr>
      </w:pPr>
      <w:r>
        <w:rPr>
          <w:rFonts w:ascii="Arial" w:hAnsi="Arial" w:cs="Arial"/>
        </w:rPr>
        <w:t>6.8 Pokud příjemce neinvestiční dotace nepředloží řádné vyúčtování poskytnutých finančních prostředků, neobdrží v následujících 5 letech v dalších dotačních řízeních žádné finanční prostředky z rozpočtu města.</w:t>
      </w:r>
    </w:p>
    <w:p w:rsidR="005D0C1B" w:rsidRDefault="005D0C1B" w:rsidP="005D0C1B">
      <w:pPr>
        <w:spacing w:after="0" w:line="240" w:lineRule="auto"/>
        <w:jc w:val="both"/>
        <w:rPr>
          <w:rFonts w:ascii="Arial" w:hAnsi="Arial" w:cs="Arial"/>
        </w:rPr>
      </w:pPr>
    </w:p>
    <w:p w:rsidR="005D0C1B" w:rsidRDefault="005D0C1B" w:rsidP="005D0C1B">
      <w:pPr>
        <w:spacing w:after="0" w:line="240" w:lineRule="auto"/>
        <w:jc w:val="both"/>
        <w:rPr>
          <w:rFonts w:ascii="Arial" w:hAnsi="Arial" w:cs="Arial"/>
        </w:rPr>
      </w:pPr>
      <w:r>
        <w:rPr>
          <w:rFonts w:ascii="Arial" w:hAnsi="Arial" w:cs="Arial"/>
        </w:rPr>
        <w:t>6.9 Smluvní strany prohlašují, že si smlouvu před jejím podpisem přečetly a že byla uzavřena po vzájemném projednání podle jejich pravé a svobodné vůle určitě, vážně a srozumitelně, nikoliv v tísni za nápadně nevýhodných podmínek, což stvrzují svými podpisy.</w:t>
      </w:r>
    </w:p>
    <w:p w:rsidR="005D0C1B" w:rsidRDefault="005D0C1B" w:rsidP="005D0C1B">
      <w:pPr>
        <w:spacing w:after="0" w:line="240" w:lineRule="auto"/>
        <w:jc w:val="both"/>
        <w:rPr>
          <w:rFonts w:ascii="Arial" w:hAnsi="Arial" w:cs="Arial"/>
        </w:rPr>
      </w:pPr>
    </w:p>
    <w:p w:rsidR="005D0C1B" w:rsidRDefault="005D0C1B" w:rsidP="005D0C1B">
      <w:pPr>
        <w:spacing w:after="0" w:line="240" w:lineRule="auto"/>
        <w:jc w:val="both"/>
        <w:rPr>
          <w:rFonts w:ascii="Arial" w:hAnsi="Arial" w:cs="Arial"/>
        </w:rPr>
      </w:pPr>
      <w:r>
        <w:rPr>
          <w:rFonts w:ascii="Arial" w:hAnsi="Arial" w:cs="Arial"/>
        </w:rPr>
        <w:lastRenderedPageBreak/>
        <w:t xml:space="preserve">6.10 Doložka platnosti právního úkonu dle </w:t>
      </w:r>
      <w:proofErr w:type="spellStart"/>
      <w:r>
        <w:rPr>
          <w:rFonts w:ascii="Arial" w:hAnsi="Arial" w:cs="Arial"/>
        </w:rPr>
        <w:t>ust</w:t>
      </w:r>
      <w:proofErr w:type="spellEnd"/>
      <w:r>
        <w:rPr>
          <w:rFonts w:ascii="Arial" w:hAnsi="Arial" w:cs="Arial"/>
        </w:rPr>
        <w:t xml:space="preserve">. §41 </w:t>
      </w:r>
      <w:proofErr w:type="spellStart"/>
      <w:proofErr w:type="gramStart"/>
      <w:r>
        <w:rPr>
          <w:rFonts w:ascii="Arial" w:hAnsi="Arial" w:cs="Arial"/>
        </w:rPr>
        <w:t>zák.č</w:t>
      </w:r>
      <w:proofErr w:type="spellEnd"/>
      <w:r>
        <w:rPr>
          <w:rFonts w:ascii="Arial" w:hAnsi="Arial" w:cs="Arial"/>
        </w:rPr>
        <w:t>.</w:t>
      </w:r>
      <w:proofErr w:type="gramEnd"/>
      <w:r>
        <w:rPr>
          <w:rFonts w:ascii="Arial" w:hAnsi="Arial" w:cs="Arial"/>
        </w:rPr>
        <w:t xml:space="preserve"> 128/2001 Sb., o obcích v platném znění: o poskytnutí neinvestiční dotace </w:t>
      </w:r>
      <w:r w:rsidR="00731C81">
        <w:rPr>
          <w:rFonts w:ascii="Arial" w:hAnsi="Arial" w:cs="Arial"/>
        </w:rPr>
        <w:t xml:space="preserve">Z/629/22 </w:t>
      </w:r>
      <w:r>
        <w:rPr>
          <w:rFonts w:ascii="Arial" w:hAnsi="Arial" w:cs="Arial"/>
        </w:rPr>
        <w:t xml:space="preserve">a uzavření veřejnoprávní smlouvy rozhodlo  Zastupitelstvo města Litvínova dne </w:t>
      </w:r>
      <w:r w:rsidR="00B9534B">
        <w:rPr>
          <w:rFonts w:ascii="Arial" w:hAnsi="Arial" w:cs="Arial"/>
        </w:rPr>
        <w:t>15.12.2016</w:t>
      </w:r>
      <w:r>
        <w:rPr>
          <w:rFonts w:ascii="Arial" w:hAnsi="Arial" w:cs="Arial"/>
        </w:rPr>
        <w:t xml:space="preserve">, číslo </w:t>
      </w:r>
      <w:r w:rsidRPr="00AA0BAF">
        <w:rPr>
          <w:rFonts w:ascii="Arial" w:hAnsi="Arial" w:cs="Arial"/>
        </w:rPr>
        <w:t>Z/</w:t>
      </w:r>
      <w:r w:rsidR="00731C81">
        <w:rPr>
          <w:rFonts w:ascii="Arial" w:hAnsi="Arial" w:cs="Arial"/>
        </w:rPr>
        <w:t>630/22</w:t>
      </w:r>
      <w:r>
        <w:rPr>
          <w:rFonts w:ascii="Arial" w:hAnsi="Arial" w:cs="Arial"/>
        </w:rPr>
        <w:t xml:space="preserve">. </w:t>
      </w:r>
    </w:p>
    <w:p w:rsidR="005D0C1B" w:rsidRDefault="005D0C1B" w:rsidP="005D0C1B">
      <w:pPr>
        <w:spacing w:after="0" w:line="240" w:lineRule="auto"/>
        <w:rPr>
          <w:rFonts w:ascii="Arial" w:hAnsi="Arial" w:cs="Arial"/>
        </w:rPr>
      </w:pPr>
    </w:p>
    <w:p w:rsidR="005D0C1B" w:rsidRDefault="005D0C1B" w:rsidP="005D0C1B">
      <w:pPr>
        <w:spacing w:after="0" w:line="240" w:lineRule="auto"/>
        <w:rPr>
          <w:rFonts w:ascii="Arial" w:hAnsi="Arial" w:cs="Arial"/>
        </w:rPr>
      </w:pPr>
      <w:r>
        <w:rPr>
          <w:rFonts w:ascii="Arial" w:hAnsi="Arial" w:cs="Arial"/>
        </w:rPr>
        <w:t>V Litvínově dne ……………</w:t>
      </w:r>
      <w:r>
        <w:rPr>
          <w:rFonts w:ascii="Arial" w:hAnsi="Arial" w:cs="Arial"/>
        </w:rPr>
        <w:tab/>
      </w:r>
      <w:r>
        <w:rPr>
          <w:rFonts w:ascii="Arial" w:hAnsi="Arial" w:cs="Arial"/>
        </w:rPr>
        <w:tab/>
      </w:r>
      <w:r>
        <w:rPr>
          <w:rFonts w:ascii="Arial" w:hAnsi="Arial" w:cs="Arial"/>
        </w:rPr>
        <w:tab/>
        <w:t xml:space="preserve">        V Litvínově dne ……………</w:t>
      </w:r>
    </w:p>
    <w:p w:rsidR="00DB6B30" w:rsidRDefault="00DB6B30" w:rsidP="00DB6B30">
      <w:pPr>
        <w:spacing w:after="0" w:line="240" w:lineRule="auto"/>
        <w:rPr>
          <w:rFonts w:ascii="Arial" w:hAnsi="Arial" w:cs="Arial"/>
        </w:rPr>
      </w:pPr>
    </w:p>
    <w:p w:rsidR="00DB6B30" w:rsidRDefault="00DB6B30" w:rsidP="00DB6B30">
      <w:pPr>
        <w:spacing w:after="0" w:line="240" w:lineRule="auto"/>
        <w:rPr>
          <w:rFonts w:ascii="Arial" w:hAnsi="Arial" w:cs="Arial"/>
        </w:rPr>
      </w:pPr>
    </w:p>
    <w:p w:rsidR="007B00A7" w:rsidRDefault="007B00A7" w:rsidP="00DB6B30">
      <w:pPr>
        <w:spacing w:after="0" w:line="240" w:lineRule="auto"/>
        <w:rPr>
          <w:rFonts w:ascii="Arial" w:hAnsi="Arial" w:cs="Arial"/>
        </w:rPr>
      </w:pPr>
    </w:p>
    <w:p w:rsidR="007B00A7" w:rsidRDefault="007B00A7" w:rsidP="00DB6B30">
      <w:pPr>
        <w:spacing w:after="0" w:line="240" w:lineRule="auto"/>
        <w:rPr>
          <w:rFonts w:ascii="Arial" w:hAnsi="Arial" w:cs="Arial"/>
        </w:rPr>
      </w:pPr>
    </w:p>
    <w:p w:rsidR="00DB6B30" w:rsidRDefault="00DB6B30" w:rsidP="00DB6B30">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DB6B30" w:rsidRDefault="00DB6B30" w:rsidP="00DB6B30">
      <w:pPr>
        <w:spacing w:after="0" w:line="240" w:lineRule="auto"/>
        <w:jc w:val="both"/>
        <w:rPr>
          <w:rFonts w:ascii="Arial" w:hAnsi="Arial" w:cs="Arial"/>
        </w:rPr>
      </w:pPr>
      <w:r>
        <w:rPr>
          <w:rFonts w:ascii="Arial" w:hAnsi="Arial" w:cs="Arial"/>
        </w:rPr>
        <w:t>…………………………….</w:t>
      </w:r>
      <w:r>
        <w:rPr>
          <w:rFonts w:ascii="Arial" w:hAnsi="Arial" w:cs="Arial"/>
        </w:rPr>
        <w:tab/>
        <w:t xml:space="preserve">   </w:t>
      </w:r>
      <w:r>
        <w:rPr>
          <w:rFonts w:ascii="Arial" w:hAnsi="Arial" w:cs="Arial"/>
        </w:rPr>
        <w:tab/>
      </w:r>
      <w:r>
        <w:rPr>
          <w:rFonts w:ascii="Arial" w:hAnsi="Arial" w:cs="Arial"/>
        </w:rPr>
        <w:tab/>
        <w:t xml:space="preserve">         …………………………..</w:t>
      </w:r>
    </w:p>
    <w:p w:rsidR="00DB6B30" w:rsidRDefault="00DB6B30" w:rsidP="00DB6B30">
      <w:pPr>
        <w:spacing w:after="0" w:line="240" w:lineRule="auto"/>
        <w:jc w:val="both"/>
        <w:rPr>
          <w:rFonts w:ascii="Arial" w:hAnsi="Arial" w:cs="Arial"/>
        </w:rPr>
      </w:pPr>
      <w:r>
        <w:rPr>
          <w:rFonts w:ascii="Arial" w:hAnsi="Arial" w:cs="Arial"/>
        </w:rPr>
        <w:t xml:space="preserve">   </w:t>
      </w:r>
      <w:r w:rsidR="00EA4143">
        <w:rPr>
          <w:rFonts w:ascii="Arial" w:hAnsi="Arial" w:cs="Arial"/>
        </w:rPr>
        <w:t xml:space="preserve">    </w:t>
      </w:r>
      <w:r w:rsidR="005D0C1B">
        <w:rPr>
          <w:rFonts w:ascii="Arial" w:hAnsi="Arial" w:cs="Arial"/>
        </w:rPr>
        <w:t xml:space="preserve">Petr </w:t>
      </w:r>
      <w:proofErr w:type="spellStart"/>
      <w:r w:rsidR="005D0C1B">
        <w:rPr>
          <w:rFonts w:ascii="Arial" w:hAnsi="Arial" w:cs="Arial"/>
        </w:rPr>
        <w:t>Weitz</w:t>
      </w:r>
      <w:proofErr w:type="spellEnd"/>
      <w:r w:rsidR="00EA4143">
        <w:rPr>
          <w:rFonts w:ascii="Arial" w:hAnsi="Arial" w:cs="Arial"/>
        </w:rPr>
        <w:t xml:space="preserve"> </w:t>
      </w:r>
      <w:r w:rsidR="00EA4143">
        <w:rPr>
          <w:rFonts w:ascii="Arial" w:hAnsi="Arial" w:cs="Arial"/>
        </w:rPr>
        <w:tab/>
      </w:r>
      <w:r w:rsidR="00EA4143">
        <w:rPr>
          <w:rFonts w:ascii="Arial" w:hAnsi="Arial" w:cs="Arial"/>
        </w:rPr>
        <w:tab/>
      </w:r>
      <w:r w:rsidR="00EA4143">
        <w:rPr>
          <w:rFonts w:ascii="Arial" w:hAnsi="Arial" w:cs="Arial"/>
        </w:rPr>
        <w:tab/>
      </w:r>
      <w:r w:rsidR="00EA4143">
        <w:rPr>
          <w:rFonts w:ascii="Arial" w:hAnsi="Arial" w:cs="Arial"/>
        </w:rPr>
        <w:tab/>
      </w:r>
      <w:r w:rsidR="00EA4143">
        <w:rPr>
          <w:rFonts w:ascii="Arial" w:hAnsi="Arial" w:cs="Arial"/>
        </w:rPr>
        <w:tab/>
        <w:t>Mgr. Kamila Bláhová</w:t>
      </w:r>
    </w:p>
    <w:p w:rsidR="00DB6B30" w:rsidRDefault="00EA4143" w:rsidP="00DB6B30">
      <w:pPr>
        <w:spacing w:after="0" w:line="240" w:lineRule="auto"/>
        <w:jc w:val="both"/>
        <w:rPr>
          <w:rFonts w:ascii="Arial" w:hAnsi="Arial" w:cs="Arial"/>
        </w:rPr>
      </w:pPr>
      <w:r>
        <w:rPr>
          <w:rFonts w:ascii="Arial" w:hAnsi="Arial" w:cs="Arial"/>
        </w:rPr>
        <w:t xml:space="preserve"> </w:t>
      </w:r>
      <w:r w:rsidR="00DB6B30">
        <w:rPr>
          <w:rFonts w:ascii="Arial" w:hAnsi="Arial" w:cs="Arial"/>
        </w:rPr>
        <w:t xml:space="preserve">      </w:t>
      </w:r>
      <w:r w:rsidR="005D0C1B">
        <w:rPr>
          <w:rFonts w:ascii="Arial" w:hAnsi="Arial" w:cs="Arial"/>
        </w:rPr>
        <w:t>předseda spolku</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starostka města                 </w:t>
      </w:r>
    </w:p>
    <w:p w:rsidR="00DB6B30" w:rsidRDefault="00DB6B30" w:rsidP="00DB6B30">
      <w:pPr>
        <w:spacing w:after="0" w:line="240" w:lineRule="auto"/>
        <w:jc w:val="both"/>
        <w:rPr>
          <w:rFonts w:ascii="Arial" w:hAnsi="Arial"/>
        </w:rPr>
      </w:pPr>
    </w:p>
    <w:p w:rsidR="00DB6B30" w:rsidRDefault="00DB6B30" w:rsidP="00DB6B30">
      <w:pPr>
        <w:spacing w:after="0" w:line="240" w:lineRule="auto"/>
        <w:jc w:val="both"/>
        <w:rPr>
          <w:rFonts w:ascii="Arial" w:hAnsi="Arial"/>
        </w:rPr>
      </w:pPr>
    </w:p>
    <w:p w:rsidR="00DB6B30" w:rsidRDefault="00DB6B30" w:rsidP="00DB6B30">
      <w:pPr>
        <w:spacing w:after="0" w:line="240" w:lineRule="auto"/>
        <w:jc w:val="both"/>
        <w:rPr>
          <w:rFonts w:ascii="Arial" w:hAnsi="Arial"/>
        </w:rPr>
      </w:pPr>
    </w:p>
    <w:p w:rsidR="00DB6B30" w:rsidRDefault="00DB6B30" w:rsidP="00DB6B30">
      <w:pPr>
        <w:spacing w:after="0" w:line="240" w:lineRule="auto"/>
        <w:jc w:val="both"/>
        <w:rPr>
          <w:rFonts w:ascii="Arial" w:hAnsi="Arial"/>
        </w:rPr>
      </w:pPr>
    </w:p>
    <w:p w:rsidR="00DB6B30" w:rsidRDefault="00DB6B30" w:rsidP="00DB6B30">
      <w:pPr>
        <w:spacing w:after="0" w:line="240" w:lineRule="auto"/>
        <w:jc w:val="both"/>
        <w:rPr>
          <w:rFonts w:ascii="Arial" w:hAnsi="Arial"/>
        </w:rPr>
      </w:pPr>
    </w:p>
    <w:p w:rsidR="00DB6B30" w:rsidRDefault="00DB6B30" w:rsidP="00DB6B30">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Smlouva číslo: KT/</w:t>
      </w:r>
      <w:r w:rsidR="007865CA">
        <w:rPr>
          <w:rFonts w:ascii="Arial" w:hAnsi="Arial" w:cs="Arial"/>
        </w:rPr>
        <w:t>9007/16</w:t>
      </w:r>
    </w:p>
    <w:p w:rsidR="00DB6B30" w:rsidRDefault="00DB6B30" w:rsidP="00DB6B30">
      <w:pPr>
        <w:spacing w:after="0" w:line="240" w:lineRule="auto"/>
        <w:rPr>
          <w:rFonts w:ascii="Arial" w:hAnsi="Arial" w:cs="Arial"/>
        </w:rPr>
      </w:pPr>
    </w:p>
    <w:tbl>
      <w:tblPr>
        <w:tblW w:w="5127" w:type="pct"/>
        <w:tblCellMar>
          <w:left w:w="10" w:type="dxa"/>
          <w:right w:w="10" w:type="dxa"/>
        </w:tblCellMar>
        <w:tblLook w:val="0000" w:firstRow="0" w:lastRow="0" w:firstColumn="0" w:lastColumn="0" w:noHBand="0" w:noVBand="0"/>
      </w:tblPr>
      <w:tblGrid>
        <w:gridCol w:w="2055"/>
        <w:gridCol w:w="1318"/>
        <w:gridCol w:w="2123"/>
        <w:gridCol w:w="1758"/>
        <w:gridCol w:w="2270"/>
      </w:tblGrid>
      <w:tr w:rsidR="00DB6B30" w:rsidTr="0046684C">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DB6B30" w:rsidRDefault="00DB6B30" w:rsidP="00DB6B30">
            <w:pPr>
              <w:spacing w:after="0" w:line="240" w:lineRule="auto"/>
              <w:rPr>
                <w:rFonts w:ascii="Arial" w:hAnsi="Arial" w:cs="Arial"/>
              </w:rPr>
            </w:pPr>
            <w:r>
              <w:rPr>
                <w:rFonts w:ascii="Arial" w:hAnsi="Arial" w:cs="Arial"/>
              </w:rPr>
              <w:t xml:space="preserve"> </w:t>
            </w:r>
          </w:p>
        </w:tc>
        <w:tc>
          <w:tcPr>
            <w:tcW w:w="131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DB6B30" w:rsidRDefault="00DB6B30" w:rsidP="00DB6B30">
            <w:pPr>
              <w:spacing w:after="0" w:line="240" w:lineRule="auto"/>
              <w:jc w:val="center"/>
              <w:rPr>
                <w:rFonts w:ascii="Arial" w:hAnsi="Arial" w:cs="Arial"/>
                <w:b/>
              </w:rPr>
            </w:pPr>
            <w:r>
              <w:rPr>
                <w:rFonts w:ascii="Arial" w:hAnsi="Arial" w:cs="Arial"/>
                <w:b/>
              </w:rPr>
              <w:t>Datum</w:t>
            </w:r>
          </w:p>
        </w:tc>
        <w:tc>
          <w:tcPr>
            <w:tcW w:w="2124"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DB6B30" w:rsidRDefault="00DB6B30" w:rsidP="00DB6B30">
            <w:pPr>
              <w:spacing w:after="0" w:line="240" w:lineRule="auto"/>
              <w:jc w:val="center"/>
              <w:rPr>
                <w:rFonts w:ascii="Arial" w:hAnsi="Arial" w:cs="Arial"/>
                <w:b/>
              </w:rPr>
            </w:pPr>
            <w:r>
              <w:rPr>
                <w:rFonts w:ascii="Arial" w:hAnsi="Arial" w:cs="Arial"/>
                <w:b/>
              </w:rPr>
              <w:t>Jméno</w:t>
            </w:r>
          </w:p>
        </w:tc>
        <w:tc>
          <w:tcPr>
            <w:tcW w:w="175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DB6B30" w:rsidRDefault="00DB6B30" w:rsidP="00DB6B30">
            <w:pPr>
              <w:spacing w:after="0" w:line="240" w:lineRule="auto"/>
              <w:jc w:val="center"/>
              <w:rPr>
                <w:rFonts w:ascii="Arial" w:hAnsi="Arial" w:cs="Arial"/>
                <w:b/>
              </w:rPr>
            </w:pPr>
            <w:r>
              <w:rPr>
                <w:rFonts w:ascii="Arial" w:hAnsi="Arial" w:cs="Arial"/>
                <w:b/>
              </w:rPr>
              <w:t>Funkce</w:t>
            </w:r>
          </w:p>
        </w:tc>
        <w:tc>
          <w:tcPr>
            <w:tcW w:w="227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DB6B30" w:rsidRDefault="00DB6B30" w:rsidP="00DB6B30">
            <w:pPr>
              <w:spacing w:after="0" w:line="240" w:lineRule="auto"/>
              <w:jc w:val="center"/>
              <w:rPr>
                <w:rFonts w:ascii="Arial" w:hAnsi="Arial" w:cs="Arial"/>
                <w:b/>
              </w:rPr>
            </w:pPr>
            <w:r>
              <w:rPr>
                <w:rFonts w:ascii="Arial" w:hAnsi="Arial" w:cs="Arial"/>
                <w:b/>
              </w:rPr>
              <w:t>Podpis</w:t>
            </w:r>
          </w:p>
        </w:tc>
      </w:tr>
      <w:tr w:rsidR="00DB6B30" w:rsidTr="0046684C">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DB6B30" w:rsidRDefault="00DB6B30" w:rsidP="00DB6B30">
            <w:pPr>
              <w:spacing w:after="0" w:line="240" w:lineRule="auto"/>
              <w:rPr>
                <w:rFonts w:ascii="Arial" w:hAnsi="Arial" w:cs="Arial"/>
                <w:b/>
              </w:rPr>
            </w:pPr>
            <w:r>
              <w:rPr>
                <w:rFonts w:ascii="Arial" w:hAnsi="Arial" w:cs="Arial"/>
                <w:b/>
              </w:rPr>
              <w:t xml:space="preserve">Zpracoval:  </w:t>
            </w:r>
          </w:p>
        </w:tc>
        <w:tc>
          <w:tcPr>
            <w:tcW w:w="1313" w:type="dxa"/>
            <w:tcBorders>
              <w:top w:val="single" w:sz="1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DB6B30" w:rsidRDefault="00DB6B30" w:rsidP="00DB6B30">
            <w:pPr>
              <w:spacing w:after="0" w:line="240" w:lineRule="auto"/>
              <w:rPr>
                <w:rFonts w:ascii="Arial" w:hAnsi="Arial" w:cs="Arial"/>
              </w:rPr>
            </w:pPr>
            <w:proofErr w:type="gramStart"/>
            <w:r>
              <w:rPr>
                <w:rFonts w:ascii="Arial" w:hAnsi="Arial" w:cs="Arial"/>
              </w:rPr>
              <w:t>16.9.2016</w:t>
            </w:r>
            <w:proofErr w:type="gramEnd"/>
          </w:p>
        </w:tc>
        <w:tc>
          <w:tcPr>
            <w:tcW w:w="2124" w:type="dxa"/>
            <w:tcBorders>
              <w:top w:val="single" w:sz="1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DB6B30" w:rsidRDefault="00DB6B30" w:rsidP="00DB6B30">
            <w:pPr>
              <w:spacing w:after="0" w:line="240" w:lineRule="auto"/>
              <w:rPr>
                <w:rFonts w:ascii="Arial" w:hAnsi="Arial" w:cs="Arial"/>
              </w:rPr>
            </w:pPr>
            <w:r>
              <w:rPr>
                <w:rFonts w:ascii="Arial" w:hAnsi="Arial" w:cs="Arial"/>
              </w:rPr>
              <w:t xml:space="preserve">Kateřina </w:t>
            </w:r>
            <w:proofErr w:type="spellStart"/>
            <w:r>
              <w:rPr>
                <w:rFonts w:ascii="Arial" w:hAnsi="Arial" w:cs="Arial"/>
              </w:rPr>
              <w:t>Malčeková</w:t>
            </w:r>
            <w:proofErr w:type="spellEnd"/>
          </w:p>
        </w:tc>
        <w:tc>
          <w:tcPr>
            <w:tcW w:w="1758" w:type="dxa"/>
            <w:tcBorders>
              <w:top w:val="single" w:sz="1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DB6B30" w:rsidRDefault="00DB6B30" w:rsidP="00DB6B30">
            <w:pPr>
              <w:spacing w:after="0" w:line="240" w:lineRule="auto"/>
              <w:rPr>
                <w:rFonts w:ascii="Arial" w:hAnsi="Arial" w:cs="Arial"/>
                <w:sz w:val="16"/>
                <w:szCs w:val="16"/>
              </w:rPr>
            </w:pPr>
            <w:r>
              <w:rPr>
                <w:rFonts w:ascii="Arial" w:hAnsi="Arial" w:cs="Arial"/>
                <w:sz w:val="16"/>
                <w:szCs w:val="16"/>
              </w:rPr>
              <w:t>referentka odboru sociálních věcí a školství</w:t>
            </w:r>
          </w:p>
        </w:tc>
        <w:tc>
          <w:tcPr>
            <w:tcW w:w="2272" w:type="dxa"/>
            <w:tcBorders>
              <w:top w:val="single" w:sz="1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DB6B30" w:rsidRDefault="00DB6B30" w:rsidP="00DB6B30">
            <w:pPr>
              <w:spacing w:after="0" w:line="240" w:lineRule="auto"/>
              <w:rPr>
                <w:rFonts w:ascii="Arial" w:hAnsi="Arial" w:cs="Arial"/>
              </w:rPr>
            </w:pPr>
          </w:p>
        </w:tc>
      </w:tr>
      <w:tr w:rsidR="00DB6B30" w:rsidTr="0046684C">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DB6B30" w:rsidRDefault="00DB6B30" w:rsidP="00DB6B30">
            <w:pPr>
              <w:spacing w:after="0" w:line="240" w:lineRule="auto"/>
              <w:rPr>
                <w:rFonts w:ascii="Arial" w:hAnsi="Arial" w:cs="Arial"/>
                <w:b/>
              </w:rPr>
            </w:pPr>
            <w:r>
              <w:rPr>
                <w:rFonts w:ascii="Arial" w:hAnsi="Arial" w:cs="Arial"/>
                <w:b/>
              </w:rPr>
              <w:t>Schválil:</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DB6B30" w:rsidRDefault="00DB6B30" w:rsidP="00DB6B30">
            <w:pPr>
              <w:spacing w:after="0" w:line="240" w:lineRule="auto"/>
              <w:rPr>
                <w:rFonts w:ascii="Arial" w:hAnsi="Arial" w:cs="Arial"/>
              </w:rPr>
            </w:pP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DB6B30" w:rsidRDefault="00DB6B30" w:rsidP="00DB6B30">
            <w:pPr>
              <w:spacing w:after="0" w:line="240" w:lineRule="auto"/>
              <w:rPr>
                <w:rFonts w:ascii="Arial" w:hAnsi="Arial" w:cs="Arial"/>
              </w:rPr>
            </w:pPr>
            <w:r>
              <w:rPr>
                <w:rFonts w:ascii="Arial" w:hAnsi="Arial" w:cs="Arial"/>
              </w:rPr>
              <w:t>Mgr. Veronika Knoblochová</w:t>
            </w:r>
          </w:p>
        </w:tc>
        <w:tc>
          <w:tcPr>
            <w:tcW w:w="175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DB6B30" w:rsidRDefault="00DB6B30" w:rsidP="00DB6B30">
            <w:pPr>
              <w:spacing w:after="0" w:line="240" w:lineRule="auto"/>
            </w:pPr>
            <w:r>
              <w:rPr>
                <w:rFonts w:ascii="Arial" w:hAnsi="Arial" w:cs="Arial"/>
                <w:sz w:val="16"/>
                <w:szCs w:val="16"/>
              </w:rPr>
              <w:t>vedoucí odboru sociálních věcí a školství</w:t>
            </w:r>
          </w:p>
        </w:tc>
        <w:tc>
          <w:tcPr>
            <w:tcW w:w="2272"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DB6B30" w:rsidRDefault="00DB6B30" w:rsidP="00DB6B30">
            <w:pPr>
              <w:spacing w:after="0" w:line="240" w:lineRule="auto"/>
              <w:rPr>
                <w:rFonts w:ascii="Arial" w:hAnsi="Arial" w:cs="Arial"/>
              </w:rPr>
            </w:pPr>
          </w:p>
        </w:tc>
      </w:tr>
      <w:tr w:rsidR="00DB6B30" w:rsidTr="0046684C">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DB6B30" w:rsidRDefault="00DB6B30" w:rsidP="00DB6B30">
            <w:pPr>
              <w:spacing w:after="0" w:line="240" w:lineRule="auto"/>
              <w:rPr>
                <w:rFonts w:ascii="Arial" w:hAnsi="Arial" w:cs="Arial"/>
                <w:b/>
              </w:rPr>
            </w:pPr>
            <w:r>
              <w:rPr>
                <w:rFonts w:ascii="Arial" w:hAnsi="Arial" w:cs="Arial"/>
                <w:b/>
              </w:rPr>
              <w:t>Správce rozpočtu:</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DB6B30" w:rsidRDefault="00DB6B30" w:rsidP="00DB6B30">
            <w:pPr>
              <w:spacing w:after="0" w:line="240" w:lineRule="auto"/>
              <w:rPr>
                <w:rFonts w:ascii="Arial" w:hAnsi="Arial" w:cs="Arial"/>
              </w:rPr>
            </w:pP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DB6B30" w:rsidRDefault="00DB6B30" w:rsidP="00DB6B30">
            <w:pPr>
              <w:spacing w:after="0" w:line="240" w:lineRule="auto"/>
              <w:rPr>
                <w:rFonts w:ascii="Arial" w:hAnsi="Arial" w:cs="Arial"/>
              </w:rPr>
            </w:pPr>
            <w:r>
              <w:rPr>
                <w:rFonts w:ascii="Arial" w:hAnsi="Arial" w:cs="Arial"/>
              </w:rPr>
              <w:t>Libuše Eichlerová</w:t>
            </w:r>
          </w:p>
        </w:tc>
        <w:tc>
          <w:tcPr>
            <w:tcW w:w="175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DB6B30" w:rsidRDefault="00DB6B30" w:rsidP="00DB6B30">
            <w:pPr>
              <w:spacing w:after="0" w:line="240" w:lineRule="auto"/>
            </w:pPr>
            <w:r>
              <w:rPr>
                <w:rFonts w:ascii="Arial" w:hAnsi="Arial" w:cs="Arial"/>
                <w:sz w:val="16"/>
                <w:szCs w:val="16"/>
              </w:rPr>
              <w:t>ekonomka odboru sociálních věcí a školství</w:t>
            </w:r>
          </w:p>
        </w:tc>
        <w:tc>
          <w:tcPr>
            <w:tcW w:w="2272"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DB6B30" w:rsidRDefault="00DB6B30" w:rsidP="00DB6B30">
            <w:pPr>
              <w:spacing w:after="0" w:line="240" w:lineRule="auto"/>
              <w:rPr>
                <w:rFonts w:ascii="Arial" w:hAnsi="Arial" w:cs="Arial"/>
              </w:rPr>
            </w:pPr>
          </w:p>
        </w:tc>
      </w:tr>
      <w:tr w:rsidR="00DB6B30" w:rsidTr="0046684C">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DB6B30" w:rsidRDefault="00DB6B30" w:rsidP="00DB6B30">
            <w:pPr>
              <w:spacing w:after="0" w:line="240" w:lineRule="auto"/>
              <w:rPr>
                <w:rFonts w:ascii="Arial" w:hAnsi="Arial" w:cs="Arial"/>
                <w:b/>
              </w:rPr>
            </w:pPr>
            <w:r>
              <w:rPr>
                <w:rFonts w:ascii="Arial" w:hAnsi="Arial" w:cs="Arial"/>
                <w:b/>
              </w:rPr>
              <w:t>Právní oddělení:</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DB6B30" w:rsidRDefault="00DB6B30" w:rsidP="00DB6B30">
            <w:pPr>
              <w:spacing w:after="0" w:line="240" w:lineRule="auto"/>
              <w:rPr>
                <w:rFonts w:ascii="Arial" w:hAnsi="Arial" w:cs="Arial"/>
              </w:rPr>
            </w:pP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DB6B30" w:rsidRDefault="00DB6B30" w:rsidP="00DB6B30">
            <w:pPr>
              <w:spacing w:after="0" w:line="240" w:lineRule="auto"/>
              <w:rPr>
                <w:rFonts w:ascii="Arial" w:hAnsi="Arial" w:cs="Arial"/>
              </w:rPr>
            </w:pPr>
            <w:r>
              <w:rPr>
                <w:rFonts w:ascii="Arial" w:hAnsi="Arial" w:cs="Arial"/>
              </w:rPr>
              <w:t xml:space="preserve">JUDr. Jan Pulda, </w:t>
            </w:r>
            <w:proofErr w:type="gramStart"/>
            <w:r>
              <w:rPr>
                <w:rFonts w:ascii="Arial" w:hAnsi="Arial" w:cs="Arial"/>
              </w:rPr>
              <w:t>LL.M.</w:t>
            </w:r>
            <w:proofErr w:type="gramEnd"/>
          </w:p>
        </w:tc>
        <w:tc>
          <w:tcPr>
            <w:tcW w:w="175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DB6B30" w:rsidRDefault="00DB6B30" w:rsidP="00DB6B30">
            <w:pPr>
              <w:spacing w:after="0" w:line="240" w:lineRule="auto"/>
              <w:rPr>
                <w:rFonts w:ascii="Arial" w:hAnsi="Arial" w:cs="Arial"/>
              </w:rPr>
            </w:pPr>
            <w:r>
              <w:rPr>
                <w:rFonts w:ascii="Arial" w:hAnsi="Arial" w:cs="Arial"/>
              </w:rPr>
              <w:t>právník</w:t>
            </w:r>
          </w:p>
        </w:tc>
        <w:tc>
          <w:tcPr>
            <w:tcW w:w="2272" w:type="dxa"/>
            <w:tcBorders>
              <w:top w:val="single" w:sz="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DB6B30" w:rsidRDefault="00DB6B30" w:rsidP="00DB6B30">
            <w:pPr>
              <w:spacing w:after="0" w:line="240" w:lineRule="auto"/>
              <w:rPr>
                <w:rFonts w:ascii="Arial" w:hAnsi="Arial" w:cs="Arial"/>
              </w:rPr>
            </w:pPr>
          </w:p>
        </w:tc>
      </w:tr>
      <w:tr w:rsidR="00DB6B30" w:rsidTr="0046684C">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DB6B30" w:rsidRDefault="00DB6B30" w:rsidP="00DB6B30">
            <w:pPr>
              <w:spacing w:after="0" w:line="240" w:lineRule="auto"/>
              <w:rPr>
                <w:rFonts w:ascii="Arial" w:hAnsi="Arial" w:cs="Arial"/>
                <w:b/>
              </w:rPr>
            </w:pPr>
            <w:r>
              <w:rPr>
                <w:rFonts w:ascii="Arial" w:hAnsi="Arial" w:cs="Arial"/>
                <w:b/>
              </w:rPr>
              <w:t>Schváleno - RM:</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DB6B30" w:rsidRDefault="00B9534B" w:rsidP="00DB6B30">
            <w:pPr>
              <w:spacing w:after="0" w:line="240" w:lineRule="auto"/>
              <w:rPr>
                <w:rFonts w:ascii="Arial" w:hAnsi="Arial" w:cs="Arial"/>
              </w:rPr>
            </w:pPr>
            <w:proofErr w:type="gramStart"/>
            <w:r>
              <w:rPr>
                <w:rFonts w:ascii="Arial" w:hAnsi="Arial" w:cs="Arial"/>
              </w:rPr>
              <w:t>7.12.2016</w:t>
            </w:r>
            <w:proofErr w:type="gramEnd"/>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DB6B30" w:rsidRDefault="00DB6B30" w:rsidP="00DB6B30">
            <w:pPr>
              <w:spacing w:after="0" w:line="240" w:lineRule="auto"/>
              <w:rPr>
                <w:rFonts w:ascii="Arial" w:hAnsi="Arial" w:cs="Arial"/>
                <w:b/>
                <w:sz w:val="18"/>
                <w:szCs w:val="18"/>
              </w:rPr>
            </w:pPr>
            <w:r>
              <w:rPr>
                <w:rFonts w:ascii="Arial" w:hAnsi="Arial" w:cs="Arial"/>
                <w:b/>
                <w:sz w:val="18"/>
                <w:szCs w:val="18"/>
              </w:rPr>
              <w:t xml:space="preserve">Číslo usnesení:   </w:t>
            </w:r>
          </w:p>
        </w:tc>
        <w:tc>
          <w:tcPr>
            <w:tcW w:w="1758"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DB6B30" w:rsidRDefault="00B9534B" w:rsidP="00DB6B30">
            <w:pPr>
              <w:spacing w:after="0" w:line="240" w:lineRule="auto"/>
              <w:rPr>
                <w:rFonts w:ascii="Arial" w:hAnsi="Arial" w:cs="Arial"/>
                <w:b/>
                <w:sz w:val="18"/>
                <w:szCs w:val="18"/>
              </w:rPr>
            </w:pPr>
            <w:r>
              <w:rPr>
                <w:rFonts w:ascii="Arial" w:hAnsi="Arial" w:cs="Arial"/>
                <w:b/>
                <w:sz w:val="18"/>
                <w:szCs w:val="18"/>
              </w:rPr>
              <w:t>R/1602/60</w:t>
            </w:r>
          </w:p>
        </w:tc>
        <w:tc>
          <w:tcPr>
            <w:tcW w:w="2272" w:type="dxa"/>
            <w:shd w:val="clear" w:color="auto" w:fill="auto"/>
            <w:tcMar>
              <w:top w:w="0" w:type="dxa"/>
              <w:left w:w="10" w:type="dxa"/>
              <w:bottom w:w="0" w:type="dxa"/>
              <w:right w:w="10" w:type="dxa"/>
            </w:tcMar>
          </w:tcPr>
          <w:p w:rsidR="00DB6B30" w:rsidRDefault="00DB6B30" w:rsidP="00DB6B30">
            <w:pPr>
              <w:spacing w:after="0" w:line="240" w:lineRule="auto"/>
              <w:rPr>
                <w:rFonts w:ascii="Arial" w:hAnsi="Arial" w:cs="Arial"/>
                <w:b/>
                <w:sz w:val="18"/>
                <w:szCs w:val="18"/>
              </w:rPr>
            </w:pPr>
          </w:p>
        </w:tc>
      </w:tr>
      <w:tr w:rsidR="00DB6B30" w:rsidTr="0046684C">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DB6B30" w:rsidRDefault="00DB6B30" w:rsidP="00DB6B30">
            <w:pPr>
              <w:spacing w:after="0" w:line="240" w:lineRule="auto"/>
              <w:rPr>
                <w:rFonts w:ascii="Arial" w:hAnsi="Arial" w:cs="Arial"/>
                <w:b/>
              </w:rPr>
            </w:pPr>
            <w:r>
              <w:rPr>
                <w:rFonts w:ascii="Arial" w:hAnsi="Arial" w:cs="Arial"/>
                <w:b/>
              </w:rPr>
              <w:t xml:space="preserve">                    ZM:</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DB6B30" w:rsidRDefault="00B9534B" w:rsidP="00DB6B30">
            <w:pPr>
              <w:spacing w:after="0" w:line="240" w:lineRule="auto"/>
              <w:rPr>
                <w:rFonts w:ascii="Arial" w:hAnsi="Arial" w:cs="Arial"/>
              </w:rPr>
            </w:pPr>
            <w:proofErr w:type="gramStart"/>
            <w:r>
              <w:rPr>
                <w:rFonts w:ascii="Arial" w:hAnsi="Arial" w:cs="Arial"/>
              </w:rPr>
              <w:t>15.12.2016</w:t>
            </w:r>
            <w:proofErr w:type="gramEnd"/>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DB6B30" w:rsidRDefault="00DB6B30" w:rsidP="00DB6B30">
            <w:pPr>
              <w:spacing w:after="0" w:line="240" w:lineRule="auto"/>
              <w:rPr>
                <w:rFonts w:ascii="Arial" w:hAnsi="Arial" w:cs="Arial"/>
                <w:b/>
                <w:sz w:val="18"/>
                <w:szCs w:val="18"/>
              </w:rPr>
            </w:pPr>
            <w:r>
              <w:rPr>
                <w:rFonts w:ascii="Arial" w:hAnsi="Arial" w:cs="Arial"/>
                <w:b/>
                <w:sz w:val="18"/>
                <w:szCs w:val="18"/>
              </w:rPr>
              <w:t>Číslo usnesení:</w:t>
            </w:r>
          </w:p>
        </w:tc>
        <w:tc>
          <w:tcPr>
            <w:tcW w:w="1758" w:type="dxa"/>
            <w:tcBorders>
              <w:top w:val="single" w:sz="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DB6B30" w:rsidRDefault="00B9534B" w:rsidP="00DB6B30">
            <w:pPr>
              <w:spacing w:after="0" w:line="240" w:lineRule="auto"/>
              <w:rPr>
                <w:rFonts w:ascii="Arial" w:hAnsi="Arial" w:cs="Arial"/>
                <w:b/>
                <w:sz w:val="18"/>
                <w:szCs w:val="18"/>
              </w:rPr>
            </w:pPr>
            <w:r>
              <w:rPr>
                <w:rFonts w:ascii="Arial" w:hAnsi="Arial" w:cs="Arial"/>
                <w:b/>
                <w:sz w:val="18"/>
                <w:szCs w:val="18"/>
              </w:rPr>
              <w:t>Z/</w:t>
            </w:r>
            <w:r w:rsidR="00731C81">
              <w:rPr>
                <w:rFonts w:ascii="Arial" w:hAnsi="Arial" w:cs="Arial"/>
                <w:b/>
                <w:sz w:val="18"/>
                <w:szCs w:val="18"/>
              </w:rPr>
              <w:t>630/22</w:t>
            </w:r>
          </w:p>
        </w:tc>
        <w:tc>
          <w:tcPr>
            <w:tcW w:w="2272" w:type="dxa"/>
            <w:shd w:val="clear" w:color="auto" w:fill="auto"/>
            <w:tcMar>
              <w:top w:w="0" w:type="dxa"/>
              <w:left w:w="10" w:type="dxa"/>
              <w:bottom w:w="0" w:type="dxa"/>
              <w:right w:w="10" w:type="dxa"/>
            </w:tcMar>
          </w:tcPr>
          <w:p w:rsidR="00DB6B30" w:rsidRDefault="00DB6B30" w:rsidP="00DB6B30">
            <w:pPr>
              <w:spacing w:after="0" w:line="240" w:lineRule="auto"/>
              <w:rPr>
                <w:rFonts w:ascii="Arial" w:hAnsi="Arial" w:cs="Arial"/>
                <w:b/>
                <w:sz w:val="18"/>
                <w:szCs w:val="18"/>
              </w:rPr>
            </w:pPr>
          </w:p>
        </w:tc>
      </w:tr>
      <w:tr w:rsidR="00DB6B30" w:rsidTr="0046684C">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DB6B30" w:rsidRDefault="00DB6B30" w:rsidP="00DB6B30">
            <w:pPr>
              <w:spacing w:after="0" w:line="240" w:lineRule="auto"/>
              <w:rPr>
                <w:rFonts w:ascii="Arial" w:hAnsi="Arial" w:cs="Arial"/>
                <w:b/>
              </w:rPr>
            </w:pPr>
            <w:r>
              <w:rPr>
                <w:rFonts w:ascii="Arial" w:hAnsi="Arial" w:cs="Arial"/>
                <w:b/>
              </w:rPr>
              <w:t>Zveřejněno:</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DB6B30" w:rsidRDefault="00DB6B30" w:rsidP="00DB6B30">
            <w:pPr>
              <w:spacing w:after="0" w:line="240" w:lineRule="auto"/>
              <w:rPr>
                <w:rFonts w:ascii="Arial" w:hAnsi="Arial" w:cs="Arial"/>
                <w:b/>
                <w:sz w:val="18"/>
                <w:szCs w:val="18"/>
              </w:rPr>
            </w:pPr>
            <w:proofErr w:type="gramStart"/>
            <w:r>
              <w:rPr>
                <w:rFonts w:ascii="Arial" w:hAnsi="Arial" w:cs="Arial"/>
                <w:b/>
                <w:sz w:val="18"/>
                <w:szCs w:val="18"/>
              </w:rPr>
              <w:t>Od</w:t>
            </w:r>
            <w:proofErr w:type="gramEnd"/>
            <w:r>
              <w:rPr>
                <w:rFonts w:ascii="Arial" w:hAnsi="Arial" w:cs="Arial"/>
                <w:b/>
                <w:sz w:val="18"/>
                <w:szCs w:val="18"/>
              </w:rPr>
              <w:t>:</w:t>
            </w:r>
          </w:p>
        </w:tc>
        <w:tc>
          <w:tcPr>
            <w:tcW w:w="2124"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DB6B30" w:rsidRDefault="00DB6B30" w:rsidP="00DB6B30">
            <w:pPr>
              <w:spacing w:after="0" w:line="240" w:lineRule="auto"/>
              <w:rPr>
                <w:rFonts w:ascii="Arial" w:hAnsi="Arial" w:cs="Arial"/>
                <w:b/>
                <w:sz w:val="18"/>
                <w:szCs w:val="18"/>
              </w:rPr>
            </w:pPr>
            <w:proofErr w:type="gramStart"/>
            <w:r>
              <w:rPr>
                <w:rFonts w:ascii="Arial" w:hAnsi="Arial" w:cs="Arial"/>
                <w:b/>
                <w:sz w:val="18"/>
                <w:szCs w:val="18"/>
              </w:rPr>
              <w:t>Do</w:t>
            </w:r>
            <w:proofErr w:type="gramEnd"/>
            <w:r>
              <w:rPr>
                <w:rFonts w:ascii="Arial" w:hAnsi="Arial" w:cs="Arial"/>
                <w:b/>
                <w:sz w:val="18"/>
                <w:szCs w:val="18"/>
              </w:rPr>
              <w:t>:</w:t>
            </w:r>
          </w:p>
        </w:tc>
        <w:tc>
          <w:tcPr>
            <w:tcW w:w="1758" w:type="dxa"/>
            <w:shd w:val="clear" w:color="auto" w:fill="auto"/>
            <w:tcMar>
              <w:top w:w="0" w:type="dxa"/>
              <w:left w:w="10" w:type="dxa"/>
              <w:bottom w:w="0" w:type="dxa"/>
              <w:right w:w="10" w:type="dxa"/>
            </w:tcMar>
          </w:tcPr>
          <w:p w:rsidR="00DB6B30" w:rsidRDefault="00DB6B30" w:rsidP="00DB6B30">
            <w:pPr>
              <w:spacing w:after="0" w:line="240" w:lineRule="auto"/>
              <w:rPr>
                <w:rFonts w:ascii="Arial" w:hAnsi="Arial" w:cs="Arial"/>
                <w:b/>
                <w:sz w:val="18"/>
                <w:szCs w:val="18"/>
              </w:rPr>
            </w:pPr>
          </w:p>
        </w:tc>
        <w:tc>
          <w:tcPr>
            <w:tcW w:w="2272" w:type="dxa"/>
            <w:shd w:val="clear" w:color="auto" w:fill="auto"/>
            <w:tcMar>
              <w:top w:w="0" w:type="dxa"/>
              <w:left w:w="10" w:type="dxa"/>
              <w:bottom w:w="0" w:type="dxa"/>
              <w:right w:w="10" w:type="dxa"/>
            </w:tcMar>
          </w:tcPr>
          <w:p w:rsidR="00DB6B30" w:rsidRDefault="00DB6B30" w:rsidP="00DB6B30">
            <w:pPr>
              <w:spacing w:after="0" w:line="240" w:lineRule="auto"/>
              <w:rPr>
                <w:rFonts w:ascii="Arial" w:hAnsi="Arial" w:cs="Arial"/>
                <w:b/>
                <w:sz w:val="18"/>
                <w:szCs w:val="18"/>
              </w:rPr>
            </w:pPr>
          </w:p>
        </w:tc>
      </w:tr>
      <w:tr w:rsidR="00DB6B30" w:rsidTr="0046684C">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DB6B30" w:rsidRDefault="00DB6B30" w:rsidP="00DB6B30">
            <w:pPr>
              <w:spacing w:after="0" w:line="240" w:lineRule="auto"/>
              <w:rPr>
                <w:rFonts w:ascii="Arial" w:hAnsi="Arial" w:cs="Arial"/>
                <w:b/>
              </w:rPr>
            </w:pPr>
            <w:r>
              <w:rPr>
                <w:rFonts w:ascii="Arial" w:hAnsi="Arial" w:cs="Arial"/>
                <w:b/>
              </w:rPr>
              <w:t>Vedení města:</w:t>
            </w:r>
          </w:p>
        </w:tc>
        <w:tc>
          <w:tcPr>
            <w:tcW w:w="1313" w:type="dxa"/>
            <w:tcBorders>
              <w:top w:val="single" w:sz="2" w:space="0" w:color="000000"/>
              <w:left w:val="single" w:sz="1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rsidR="00DB6B30" w:rsidRDefault="00DB6B30" w:rsidP="00DB6B30">
            <w:pPr>
              <w:spacing w:after="0" w:line="240" w:lineRule="auto"/>
              <w:rPr>
                <w:rFonts w:ascii="Arial" w:hAnsi="Arial" w:cs="Arial"/>
              </w:rPr>
            </w:pPr>
          </w:p>
        </w:tc>
        <w:tc>
          <w:tcPr>
            <w:tcW w:w="2124"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rsidR="00DB6B30" w:rsidRDefault="00DB6B30" w:rsidP="00DB6B30">
            <w:pPr>
              <w:spacing w:after="0" w:line="240" w:lineRule="auto"/>
              <w:rPr>
                <w:rFonts w:ascii="Arial" w:hAnsi="Arial" w:cs="Arial"/>
              </w:rPr>
            </w:pPr>
            <w:r>
              <w:rPr>
                <w:rFonts w:ascii="Arial" w:hAnsi="Arial" w:cs="Arial"/>
              </w:rPr>
              <w:t>Erika Sedláčková</w:t>
            </w:r>
          </w:p>
        </w:tc>
        <w:tc>
          <w:tcPr>
            <w:tcW w:w="1758" w:type="dxa"/>
            <w:tcBorders>
              <w:top w:val="single" w:sz="1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rsidR="00DB6B30" w:rsidRDefault="00DB6B30" w:rsidP="00DB6B30">
            <w:pPr>
              <w:spacing w:after="0" w:line="240" w:lineRule="auto"/>
              <w:rPr>
                <w:rFonts w:ascii="Arial" w:hAnsi="Arial" w:cs="Arial"/>
              </w:rPr>
            </w:pPr>
            <w:r>
              <w:rPr>
                <w:rFonts w:ascii="Arial" w:hAnsi="Arial" w:cs="Arial"/>
              </w:rPr>
              <w:t>místostarostka</w:t>
            </w:r>
          </w:p>
        </w:tc>
        <w:tc>
          <w:tcPr>
            <w:tcW w:w="2272" w:type="dxa"/>
            <w:tcBorders>
              <w:top w:val="single" w:sz="1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DB6B30" w:rsidRDefault="00DB6B30" w:rsidP="00DB6B30">
            <w:pPr>
              <w:spacing w:after="0" w:line="240" w:lineRule="auto"/>
              <w:rPr>
                <w:rFonts w:ascii="Arial" w:hAnsi="Arial" w:cs="Arial"/>
              </w:rPr>
            </w:pPr>
          </w:p>
        </w:tc>
      </w:tr>
    </w:tbl>
    <w:p w:rsidR="00DB6B30" w:rsidRDefault="00DB6B30" w:rsidP="00DB6B30">
      <w:pPr>
        <w:spacing w:after="0" w:line="240" w:lineRule="auto"/>
        <w:rPr>
          <w:rFonts w:ascii="Arial" w:hAnsi="Arial" w:cs="Arial"/>
          <w:vertAlign w:val="superscript"/>
        </w:rPr>
      </w:pPr>
    </w:p>
    <w:p w:rsidR="00DB6B30" w:rsidRDefault="00DB6B30" w:rsidP="00DB6B30">
      <w:pPr>
        <w:spacing w:after="0" w:line="240" w:lineRule="auto"/>
      </w:pPr>
    </w:p>
    <w:p w:rsidR="00DB6B30" w:rsidRDefault="00DB6B30" w:rsidP="00DB6B30">
      <w:pPr>
        <w:spacing w:after="0" w:line="240" w:lineRule="auto"/>
      </w:pPr>
    </w:p>
    <w:p w:rsidR="00DB6B30" w:rsidRDefault="00DB6B30" w:rsidP="00DB6B30">
      <w:pPr>
        <w:spacing w:after="0" w:line="240" w:lineRule="auto"/>
      </w:pPr>
    </w:p>
    <w:p w:rsidR="00DB6B30" w:rsidRDefault="00DB6B30" w:rsidP="00DB6B30">
      <w:pPr>
        <w:spacing w:after="0" w:line="240" w:lineRule="auto"/>
      </w:pPr>
    </w:p>
    <w:p w:rsidR="00DB6B30" w:rsidRDefault="00DB6B30" w:rsidP="00DB6B30">
      <w:pPr>
        <w:spacing w:after="0" w:line="240" w:lineRule="auto"/>
      </w:pPr>
    </w:p>
    <w:p w:rsidR="00DB6B30" w:rsidRDefault="00DB6B30" w:rsidP="00DB6B30">
      <w:pPr>
        <w:spacing w:after="0" w:line="240" w:lineRule="auto"/>
      </w:pPr>
    </w:p>
    <w:p w:rsidR="00BD4490" w:rsidRDefault="00BD4490" w:rsidP="00DB6B30">
      <w:pPr>
        <w:spacing w:after="0" w:line="240" w:lineRule="auto"/>
      </w:pPr>
    </w:p>
    <w:sectPr w:rsidR="00BD4490">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374" w:rsidRDefault="004D1374" w:rsidP="00DB6B30">
      <w:pPr>
        <w:spacing w:after="0" w:line="240" w:lineRule="auto"/>
      </w:pPr>
      <w:r>
        <w:separator/>
      </w:r>
    </w:p>
  </w:endnote>
  <w:endnote w:type="continuationSeparator" w:id="0">
    <w:p w:rsidR="004D1374" w:rsidRDefault="004D1374" w:rsidP="00DB6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A7E" w:rsidRDefault="00DB6B30">
    <w:pPr>
      <w:pStyle w:val="Zpat"/>
      <w:jc w:val="right"/>
    </w:pPr>
    <w:r>
      <w:t>DS Čtyřlístek</w:t>
    </w:r>
    <w:r w:rsidR="009D3501">
      <w:t xml:space="preserve"> - neinvestiční </w:t>
    </w:r>
    <w:proofErr w:type="gramStart"/>
    <w:r w:rsidR="009D3501">
      <w:t>dotace  na</w:t>
    </w:r>
    <w:proofErr w:type="gramEnd"/>
    <w:r w:rsidR="009D3501">
      <w:t xml:space="preserve"> rok 2017</w:t>
    </w:r>
  </w:p>
  <w:p w:rsidR="00BE4A7E" w:rsidRDefault="009D3501">
    <w:pPr>
      <w:pStyle w:val="Zpat"/>
      <w:jc w:val="right"/>
    </w:pPr>
    <w:r>
      <w:fldChar w:fldCharType="begin"/>
    </w:r>
    <w:r>
      <w:instrText xml:space="preserve"> PAGE </w:instrText>
    </w:r>
    <w:r>
      <w:fldChar w:fldCharType="separate"/>
    </w:r>
    <w:r w:rsidR="009B6C37">
      <w:rPr>
        <w:noProof/>
      </w:rPr>
      <w:t>5</w:t>
    </w:r>
    <w:r>
      <w:fldChar w:fldCharType="end"/>
    </w:r>
  </w:p>
  <w:p w:rsidR="00BE4A7E" w:rsidRDefault="004D1374">
    <w:pPr>
      <w:pStyle w:val="Zpat"/>
      <w:ind w:right="360"/>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374" w:rsidRDefault="004D1374" w:rsidP="00DB6B30">
      <w:pPr>
        <w:spacing w:after="0" w:line="240" w:lineRule="auto"/>
      </w:pPr>
      <w:r>
        <w:separator/>
      </w:r>
    </w:p>
  </w:footnote>
  <w:footnote w:type="continuationSeparator" w:id="0">
    <w:p w:rsidR="004D1374" w:rsidRDefault="004D1374" w:rsidP="00DB6B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A7E" w:rsidRDefault="009D3501">
    <w:pPr>
      <w:pStyle w:val="Zhlav"/>
    </w:pPr>
    <w:r>
      <w:tab/>
    </w:r>
    <w:r>
      <w:tab/>
      <w:t>KT/</w:t>
    </w:r>
    <w:r w:rsidR="007865CA">
      <w:t>9007/16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D6B9C"/>
    <w:multiLevelType w:val="hybridMultilevel"/>
    <w:tmpl w:val="7F0086F4"/>
    <w:lvl w:ilvl="0" w:tplc="04050001">
      <w:start w:val="1"/>
      <w:numFmt w:val="bullet"/>
      <w:lvlText w:val=""/>
      <w:lvlJc w:val="left"/>
      <w:pPr>
        <w:ind w:left="780" w:hanging="360"/>
      </w:pPr>
      <w:rPr>
        <w:rFonts w:ascii="Symbol" w:hAnsi="Symbol" w:hint="default"/>
      </w:rPr>
    </w:lvl>
    <w:lvl w:ilvl="1" w:tplc="04050001">
      <w:start w:val="1"/>
      <w:numFmt w:val="bullet"/>
      <w:lvlText w:val=""/>
      <w:lvlJc w:val="left"/>
      <w:pPr>
        <w:ind w:left="1500" w:hanging="360"/>
      </w:pPr>
      <w:rPr>
        <w:rFonts w:ascii="Symbol" w:hAnsi="Symbol"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
    <w:nsid w:val="15982208"/>
    <w:multiLevelType w:val="hybridMultilevel"/>
    <w:tmpl w:val="E444ACB8"/>
    <w:lvl w:ilvl="0" w:tplc="7C74DDEE">
      <w:start w:val="1"/>
      <w:numFmt w:val="upperRoman"/>
      <w:lvlText w:val="%1."/>
      <w:lvlJc w:val="right"/>
      <w:pPr>
        <w:ind w:left="72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B30"/>
    <w:rsid w:val="001B0752"/>
    <w:rsid w:val="00403708"/>
    <w:rsid w:val="004D1374"/>
    <w:rsid w:val="004F63B4"/>
    <w:rsid w:val="005B20C1"/>
    <w:rsid w:val="005D0C1B"/>
    <w:rsid w:val="006D61DF"/>
    <w:rsid w:val="00731C81"/>
    <w:rsid w:val="007865CA"/>
    <w:rsid w:val="007B00A7"/>
    <w:rsid w:val="009B6C37"/>
    <w:rsid w:val="009C531F"/>
    <w:rsid w:val="009D3501"/>
    <w:rsid w:val="00B9534B"/>
    <w:rsid w:val="00BD4490"/>
    <w:rsid w:val="00C06EB4"/>
    <w:rsid w:val="00C93BCC"/>
    <w:rsid w:val="00D249B4"/>
    <w:rsid w:val="00DB6B30"/>
    <w:rsid w:val="00EA4143"/>
    <w:rsid w:val="00FA3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06EB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Zstylkapitol">
    <w:name w:val="DZ styl kapitol"/>
    <w:basedOn w:val="Odstavecseseznamem"/>
    <w:link w:val="DZstylkapitolChar"/>
    <w:qFormat/>
    <w:rsid w:val="00C06EB4"/>
    <w:pPr>
      <w:spacing w:before="240" w:after="240" w:line="240" w:lineRule="auto"/>
      <w:ind w:left="0" w:hanging="357"/>
      <w:jc w:val="both"/>
    </w:pPr>
    <w:rPr>
      <w:rFonts w:ascii="Arial" w:hAnsi="Arial" w:cs="Arial"/>
      <w:b/>
      <w:sz w:val="24"/>
      <w:szCs w:val="24"/>
    </w:rPr>
  </w:style>
  <w:style w:type="character" w:customStyle="1" w:styleId="DZstylkapitolChar">
    <w:name w:val="DZ styl kapitol Char"/>
    <w:basedOn w:val="OdstavecseseznamemChar"/>
    <w:link w:val="DZstylkapitol"/>
    <w:rsid w:val="00C06EB4"/>
    <w:rPr>
      <w:rFonts w:ascii="Arial" w:hAnsi="Arial" w:cs="Arial"/>
      <w:b/>
      <w:sz w:val="24"/>
      <w:szCs w:val="24"/>
    </w:rPr>
  </w:style>
  <w:style w:type="paragraph" w:styleId="Odstavecseseznamem">
    <w:name w:val="List Paragraph"/>
    <w:basedOn w:val="Normln"/>
    <w:link w:val="OdstavecseseznamemChar"/>
    <w:qFormat/>
    <w:rsid w:val="00C06EB4"/>
    <w:pPr>
      <w:ind w:left="720"/>
      <w:contextualSpacing/>
    </w:pPr>
  </w:style>
  <w:style w:type="paragraph" w:customStyle="1" w:styleId="DZHlavnnadpis">
    <w:name w:val="DZ Hlavní nadpis"/>
    <w:basedOn w:val="Normln"/>
    <w:link w:val="DZHlavnnadpisChar"/>
    <w:qFormat/>
    <w:rsid w:val="00C06EB4"/>
    <w:pPr>
      <w:spacing w:after="240" w:line="240" w:lineRule="auto"/>
      <w:jc w:val="center"/>
    </w:pPr>
    <w:rPr>
      <w:rFonts w:ascii="Arial" w:hAnsi="Arial" w:cs="Arial"/>
      <w:b/>
      <w:sz w:val="28"/>
      <w:u w:val="single"/>
    </w:rPr>
  </w:style>
  <w:style w:type="character" w:customStyle="1" w:styleId="DZHlavnnadpisChar">
    <w:name w:val="DZ Hlavní nadpis Char"/>
    <w:basedOn w:val="Standardnpsmoodstavce"/>
    <w:link w:val="DZHlavnnadpis"/>
    <w:rsid w:val="00C06EB4"/>
    <w:rPr>
      <w:rFonts w:ascii="Arial" w:hAnsi="Arial" w:cs="Arial"/>
      <w:b/>
      <w:sz w:val="28"/>
      <w:u w:val="single"/>
    </w:rPr>
  </w:style>
  <w:style w:type="character" w:customStyle="1" w:styleId="OdstavecseseznamemChar">
    <w:name w:val="Odstavec se seznamem Char"/>
    <w:basedOn w:val="Standardnpsmoodstavce"/>
    <w:link w:val="Odstavecseseznamem"/>
    <w:uiPriority w:val="34"/>
    <w:rsid w:val="00C06EB4"/>
  </w:style>
  <w:style w:type="paragraph" w:styleId="Zpat">
    <w:name w:val="footer"/>
    <w:basedOn w:val="Normln"/>
    <w:link w:val="ZpatChar"/>
    <w:rsid w:val="00DB6B30"/>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rsid w:val="00DB6B30"/>
    <w:rPr>
      <w:rFonts w:ascii="Times New Roman" w:eastAsia="Times New Roman" w:hAnsi="Times New Roman" w:cs="Times New Roman"/>
      <w:sz w:val="20"/>
      <w:szCs w:val="20"/>
      <w:lang w:eastAsia="cs-CZ"/>
    </w:rPr>
  </w:style>
  <w:style w:type="paragraph" w:styleId="Zhlav">
    <w:name w:val="header"/>
    <w:basedOn w:val="Normln"/>
    <w:link w:val="ZhlavChar"/>
    <w:rsid w:val="00DB6B30"/>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DB6B30"/>
    <w:rPr>
      <w:rFonts w:ascii="Times New Roman" w:eastAsia="Times New Roman" w:hAnsi="Times New Roman"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06EB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Zstylkapitol">
    <w:name w:val="DZ styl kapitol"/>
    <w:basedOn w:val="Odstavecseseznamem"/>
    <w:link w:val="DZstylkapitolChar"/>
    <w:qFormat/>
    <w:rsid w:val="00C06EB4"/>
    <w:pPr>
      <w:spacing w:before="240" w:after="240" w:line="240" w:lineRule="auto"/>
      <w:ind w:left="0" w:hanging="357"/>
      <w:jc w:val="both"/>
    </w:pPr>
    <w:rPr>
      <w:rFonts w:ascii="Arial" w:hAnsi="Arial" w:cs="Arial"/>
      <w:b/>
      <w:sz w:val="24"/>
      <w:szCs w:val="24"/>
    </w:rPr>
  </w:style>
  <w:style w:type="character" w:customStyle="1" w:styleId="DZstylkapitolChar">
    <w:name w:val="DZ styl kapitol Char"/>
    <w:basedOn w:val="OdstavecseseznamemChar"/>
    <w:link w:val="DZstylkapitol"/>
    <w:rsid w:val="00C06EB4"/>
    <w:rPr>
      <w:rFonts w:ascii="Arial" w:hAnsi="Arial" w:cs="Arial"/>
      <w:b/>
      <w:sz w:val="24"/>
      <w:szCs w:val="24"/>
    </w:rPr>
  </w:style>
  <w:style w:type="paragraph" w:styleId="Odstavecseseznamem">
    <w:name w:val="List Paragraph"/>
    <w:basedOn w:val="Normln"/>
    <w:link w:val="OdstavecseseznamemChar"/>
    <w:qFormat/>
    <w:rsid w:val="00C06EB4"/>
    <w:pPr>
      <w:ind w:left="720"/>
      <w:contextualSpacing/>
    </w:pPr>
  </w:style>
  <w:style w:type="paragraph" w:customStyle="1" w:styleId="DZHlavnnadpis">
    <w:name w:val="DZ Hlavní nadpis"/>
    <w:basedOn w:val="Normln"/>
    <w:link w:val="DZHlavnnadpisChar"/>
    <w:qFormat/>
    <w:rsid w:val="00C06EB4"/>
    <w:pPr>
      <w:spacing w:after="240" w:line="240" w:lineRule="auto"/>
      <w:jc w:val="center"/>
    </w:pPr>
    <w:rPr>
      <w:rFonts w:ascii="Arial" w:hAnsi="Arial" w:cs="Arial"/>
      <w:b/>
      <w:sz w:val="28"/>
      <w:u w:val="single"/>
    </w:rPr>
  </w:style>
  <w:style w:type="character" w:customStyle="1" w:styleId="DZHlavnnadpisChar">
    <w:name w:val="DZ Hlavní nadpis Char"/>
    <w:basedOn w:val="Standardnpsmoodstavce"/>
    <w:link w:val="DZHlavnnadpis"/>
    <w:rsid w:val="00C06EB4"/>
    <w:rPr>
      <w:rFonts w:ascii="Arial" w:hAnsi="Arial" w:cs="Arial"/>
      <w:b/>
      <w:sz w:val="28"/>
      <w:u w:val="single"/>
    </w:rPr>
  </w:style>
  <w:style w:type="character" w:customStyle="1" w:styleId="OdstavecseseznamemChar">
    <w:name w:val="Odstavec se seznamem Char"/>
    <w:basedOn w:val="Standardnpsmoodstavce"/>
    <w:link w:val="Odstavecseseznamem"/>
    <w:uiPriority w:val="34"/>
    <w:rsid w:val="00C06EB4"/>
  </w:style>
  <w:style w:type="paragraph" w:styleId="Zpat">
    <w:name w:val="footer"/>
    <w:basedOn w:val="Normln"/>
    <w:link w:val="ZpatChar"/>
    <w:rsid w:val="00DB6B30"/>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rsid w:val="00DB6B30"/>
    <w:rPr>
      <w:rFonts w:ascii="Times New Roman" w:eastAsia="Times New Roman" w:hAnsi="Times New Roman" w:cs="Times New Roman"/>
      <w:sz w:val="20"/>
      <w:szCs w:val="20"/>
      <w:lang w:eastAsia="cs-CZ"/>
    </w:rPr>
  </w:style>
  <w:style w:type="paragraph" w:styleId="Zhlav">
    <w:name w:val="header"/>
    <w:basedOn w:val="Normln"/>
    <w:link w:val="ZhlavChar"/>
    <w:rsid w:val="00DB6B30"/>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DB6B30"/>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1686</Words>
  <Characters>9950</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Malcekova Katerina</dc:creator>
  <cp:lastModifiedBy>Sieberova Miroslava</cp:lastModifiedBy>
  <cp:revision>9</cp:revision>
  <dcterms:created xsi:type="dcterms:W3CDTF">2016-10-11T08:35:00Z</dcterms:created>
  <dcterms:modified xsi:type="dcterms:W3CDTF">2017-01-24T06:17:00Z</dcterms:modified>
</cp:coreProperties>
</file>