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DD0D6" w14:textId="50FA86DA" w:rsidR="00164923" w:rsidRDefault="00164923" w:rsidP="00164923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szCs w:val="24"/>
        </w:rPr>
        <w:t>Městská část Praha 19</w:t>
      </w:r>
      <w:r w:rsidR="00B50180">
        <w:rPr>
          <w:rFonts w:cs="Times New Roman"/>
          <w:b/>
          <w:szCs w:val="24"/>
        </w:rPr>
        <w:t xml:space="preserve">, </w:t>
      </w:r>
      <w:r w:rsidR="00276A35">
        <w:rPr>
          <w:rFonts w:cs="Times New Roman"/>
          <w:b/>
          <w:szCs w:val="24"/>
        </w:rPr>
        <w:t xml:space="preserve">IČ 00231304, </w:t>
      </w:r>
      <w:r>
        <w:rPr>
          <w:rFonts w:cs="Times New Roman"/>
          <w:b/>
          <w:szCs w:val="24"/>
        </w:rPr>
        <w:t>se sídlem Semilská 43/1, 197 04, Praha 9 – Kbely, zastoupena Pavlem Žďárským, starostou</w:t>
      </w:r>
    </w:p>
    <w:p w14:paraId="54217822" w14:textId="2316D90F" w:rsidR="00164923" w:rsidRDefault="00164923" w:rsidP="00164923">
      <w:pPr>
        <w:jc w:val="both"/>
        <w:rPr>
          <w:rFonts w:cs="Times New Roman"/>
          <w:szCs w:val="24"/>
        </w:rPr>
      </w:pPr>
      <w:r w:rsidRPr="00192ED9">
        <w:rPr>
          <w:rFonts w:cs="Times New Roman"/>
          <w:szCs w:val="24"/>
        </w:rPr>
        <w:t>dále jen „</w:t>
      </w:r>
      <w:r>
        <w:rPr>
          <w:rFonts w:cs="Times New Roman"/>
          <w:b/>
          <w:szCs w:val="24"/>
        </w:rPr>
        <w:t>objednatel</w:t>
      </w:r>
      <w:r w:rsidRPr="00192ED9">
        <w:rPr>
          <w:rFonts w:cs="Times New Roman"/>
          <w:szCs w:val="24"/>
        </w:rPr>
        <w:t xml:space="preserve">“ na straně </w:t>
      </w:r>
      <w:r w:rsidR="00276A35">
        <w:rPr>
          <w:rFonts w:cs="Times New Roman"/>
          <w:szCs w:val="24"/>
        </w:rPr>
        <w:t>jedné</w:t>
      </w:r>
    </w:p>
    <w:p w14:paraId="47D2A749" w14:textId="77777777" w:rsidR="002B4D9E" w:rsidRDefault="002B4D9E" w:rsidP="0083676C">
      <w:pPr>
        <w:jc w:val="both"/>
        <w:rPr>
          <w:rFonts w:cs="Times New Roman"/>
          <w:szCs w:val="24"/>
        </w:rPr>
      </w:pPr>
    </w:p>
    <w:p w14:paraId="003D09F1" w14:textId="64C969D7" w:rsidR="00164923" w:rsidRPr="00164923" w:rsidRDefault="00164923" w:rsidP="0083676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</w:p>
    <w:p w14:paraId="2847068A" w14:textId="77777777" w:rsidR="002B4D9E" w:rsidRDefault="002B4D9E" w:rsidP="0083676C">
      <w:pPr>
        <w:jc w:val="both"/>
        <w:rPr>
          <w:rFonts w:cs="Times New Roman"/>
          <w:b/>
          <w:szCs w:val="24"/>
        </w:rPr>
      </w:pPr>
    </w:p>
    <w:p w14:paraId="7A5CF2C4" w14:textId="0B0F2B36" w:rsidR="00164923" w:rsidRDefault="000409A6" w:rsidP="0083676C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ACG – Real s.r.o.</w:t>
      </w:r>
      <w:r w:rsidR="00AF6763">
        <w:rPr>
          <w:rFonts w:cs="Times New Roman"/>
          <w:b/>
          <w:szCs w:val="24"/>
        </w:rPr>
        <w:t xml:space="preserve">, </w:t>
      </w:r>
      <w:r w:rsidR="00276A35">
        <w:rPr>
          <w:rFonts w:cs="Times New Roman"/>
          <w:b/>
          <w:szCs w:val="24"/>
        </w:rPr>
        <w:t xml:space="preserve">IČ </w:t>
      </w:r>
      <w:r>
        <w:rPr>
          <w:rFonts w:cs="Times New Roman"/>
          <w:b/>
          <w:szCs w:val="24"/>
        </w:rPr>
        <w:t>27094359</w:t>
      </w:r>
      <w:r w:rsidR="00276A35">
        <w:rPr>
          <w:rFonts w:cs="Times New Roman"/>
          <w:b/>
          <w:szCs w:val="24"/>
        </w:rPr>
        <w:t xml:space="preserve">, DIČ </w:t>
      </w:r>
      <w:r w:rsidR="00C12D61">
        <w:rPr>
          <w:rFonts w:cs="Times New Roman"/>
          <w:b/>
          <w:szCs w:val="24"/>
        </w:rPr>
        <w:t>CZ</w:t>
      </w:r>
      <w:r>
        <w:rPr>
          <w:rFonts w:cs="Times New Roman"/>
          <w:b/>
          <w:szCs w:val="24"/>
        </w:rPr>
        <w:t>27094359</w:t>
      </w:r>
      <w:r w:rsidR="00276A35">
        <w:rPr>
          <w:rFonts w:cs="Times New Roman"/>
          <w:b/>
          <w:szCs w:val="24"/>
        </w:rPr>
        <w:t xml:space="preserve">, </w:t>
      </w:r>
      <w:r w:rsidR="00CE4A7E">
        <w:rPr>
          <w:rFonts w:cs="Times New Roman"/>
          <w:b/>
          <w:szCs w:val="24"/>
        </w:rPr>
        <w:t>s</w:t>
      </w:r>
      <w:r w:rsidR="00504C54">
        <w:rPr>
          <w:rFonts w:cs="Times New Roman"/>
          <w:b/>
          <w:szCs w:val="24"/>
        </w:rPr>
        <w:t xml:space="preserve">e sídlem </w:t>
      </w:r>
      <w:r>
        <w:rPr>
          <w:rFonts w:cs="Times New Roman"/>
          <w:b/>
          <w:szCs w:val="24"/>
        </w:rPr>
        <w:t>Velehradská 1735/28</w:t>
      </w:r>
      <w:r w:rsidR="00AF6763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130 0</w:t>
      </w:r>
      <w:r w:rsidR="00C12D61">
        <w:rPr>
          <w:rFonts w:cs="Times New Roman"/>
          <w:b/>
          <w:szCs w:val="24"/>
        </w:rPr>
        <w:t>0</w:t>
      </w:r>
      <w:r w:rsidR="00AF6763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Praha 3 – Vinohrady, jednající jednatelem Martinem Svobodou</w:t>
      </w:r>
      <w:r w:rsidR="00C136E3">
        <w:rPr>
          <w:rFonts w:cs="Times New Roman"/>
          <w:b/>
          <w:szCs w:val="24"/>
        </w:rPr>
        <w:t xml:space="preserve"> </w:t>
      </w:r>
    </w:p>
    <w:p w14:paraId="6D16FE1D" w14:textId="79C69FBB" w:rsidR="0083676C" w:rsidRDefault="0083676C" w:rsidP="0083676C">
      <w:pPr>
        <w:jc w:val="both"/>
        <w:rPr>
          <w:rFonts w:cs="Times New Roman"/>
          <w:szCs w:val="24"/>
        </w:rPr>
      </w:pPr>
      <w:r w:rsidRPr="00192ED9">
        <w:rPr>
          <w:rFonts w:cs="Times New Roman"/>
          <w:szCs w:val="24"/>
        </w:rPr>
        <w:t>dále jen „</w:t>
      </w:r>
      <w:r w:rsidR="00164923">
        <w:rPr>
          <w:rFonts w:cs="Times New Roman"/>
          <w:b/>
          <w:szCs w:val="24"/>
        </w:rPr>
        <w:t>zh</w:t>
      </w:r>
      <w:r w:rsidR="00AF6763">
        <w:rPr>
          <w:rFonts w:cs="Times New Roman"/>
          <w:b/>
          <w:szCs w:val="24"/>
        </w:rPr>
        <w:t>ot</w:t>
      </w:r>
      <w:r w:rsidR="00164923">
        <w:rPr>
          <w:rFonts w:cs="Times New Roman"/>
          <w:b/>
          <w:szCs w:val="24"/>
        </w:rPr>
        <w:t>ovit</w:t>
      </w:r>
      <w:r w:rsidR="00AF6763">
        <w:rPr>
          <w:rFonts w:cs="Times New Roman"/>
          <w:b/>
          <w:szCs w:val="24"/>
        </w:rPr>
        <w:t>el</w:t>
      </w:r>
      <w:r w:rsidRPr="00192ED9">
        <w:rPr>
          <w:rFonts w:cs="Times New Roman"/>
          <w:szCs w:val="24"/>
        </w:rPr>
        <w:t xml:space="preserve">“ na straně </w:t>
      </w:r>
      <w:r w:rsidR="00276A35">
        <w:rPr>
          <w:rFonts w:cs="Times New Roman"/>
          <w:szCs w:val="24"/>
        </w:rPr>
        <w:t>druhé</w:t>
      </w:r>
    </w:p>
    <w:p w14:paraId="79CD5623" w14:textId="77777777" w:rsidR="00AF6763" w:rsidRPr="00192ED9" w:rsidRDefault="00AF6763" w:rsidP="00AF6763">
      <w:pPr>
        <w:jc w:val="both"/>
        <w:rPr>
          <w:rFonts w:cs="Times New Roman"/>
          <w:szCs w:val="24"/>
        </w:rPr>
      </w:pPr>
      <w:r w:rsidRPr="00192ED9">
        <w:rPr>
          <w:rFonts w:cs="Times New Roman"/>
          <w:szCs w:val="24"/>
        </w:rPr>
        <w:t xml:space="preserve">dále společně </w:t>
      </w:r>
      <w:r>
        <w:rPr>
          <w:rFonts w:cs="Times New Roman"/>
          <w:szCs w:val="24"/>
        </w:rPr>
        <w:t>j</w:t>
      </w:r>
      <w:r w:rsidRPr="00192ED9">
        <w:rPr>
          <w:rFonts w:cs="Times New Roman"/>
          <w:szCs w:val="24"/>
        </w:rPr>
        <w:t>ako „</w:t>
      </w:r>
      <w:r w:rsidRPr="00192ED9">
        <w:rPr>
          <w:rFonts w:cs="Times New Roman"/>
          <w:b/>
          <w:szCs w:val="24"/>
        </w:rPr>
        <w:t>smluvní strany</w:t>
      </w:r>
      <w:r w:rsidRPr="00192ED9">
        <w:rPr>
          <w:rFonts w:cs="Times New Roman"/>
          <w:szCs w:val="24"/>
        </w:rPr>
        <w:t>“</w:t>
      </w:r>
    </w:p>
    <w:p w14:paraId="5E41F979" w14:textId="77777777" w:rsidR="00AF6763" w:rsidRPr="00192ED9" w:rsidRDefault="00AF6763" w:rsidP="0083676C">
      <w:pPr>
        <w:jc w:val="both"/>
        <w:rPr>
          <w:rFonts w:cs="Times New Roman"/>
          <w:szCs w:val="24"/>
        </w:rPr>
      </w:pPr>
    </w:p>
    <w:p w14:paraId="5F0CE427" w14:textId="545656D0" w:rsidR="00880E03" w:rsidRDefault="00880E03" w:rsidP="00880E03">
      <w:pPr>
        <w:rPr>
          <w:szCs w:val="24"/>
        </w:rPr>
      </w:pPr>
      <w:r>
        <w:rPr>
          <w:szCs w:val="24"/>
        </w:rPr>
        <w:t>uzavírají na základě usnesení RMČ ze dne 15.10.2021 č. 914/17/OMIBNH, níže uvedeného dne, měsíce a roku tento</w:t>
      </w:r>
    </w:p>
    <w:p w14:paraId="0C999A51" w14:textId="77777777" w:rsidR="00880E03" w:rsidRDefault="00880E03" w:rsidP="00880E03">
      <w:pPr>
        <w:pStyle w:val="Standard"/>
        <w:jc w:val="both"/>
        <w:rPr>
          <w:sz w:val="24"/>
          <w:szCs w:val="24"/>
        </w:rPr>
      </w:pPr>
    </w:p>
    <w:p w14:paraId="25E5662B" w14:textId="77777777" w:rsidR="0083676C" w:rsidRDefault="0083676C" w:rsidP="0083676C">
      <w:pPr>
        <w:pStyle w:val="Standard"/>
        <w:jc w:val="both"/>
        <w:rPr>
          <w:sz w:val="24"/>
          <w:szCs w:val="24"/>
        </w:rPr>
      </w:pPr>
    </w:p>
    <w:p w14:paraId="01561910" w14:textId="6DC5ACD0" w:rsidR="000409A6" w:rsidRDefault="000409A6" w:rsidP="0083676C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dodatek č. </w:t>
      </w:r>
      <w:r w:rsidR="00960CE3">
        <w:rPr>
          <w:rFonts w:cs="Times New Roman"/>
          <w:b/>
          <w:sz w:val="32"/>
          <w:szCs w:val="32"/>
        </w:rPr>
        <w:t>5</w:t>
      </w:r>
      <w:r>
        <w:rPr>
          <w:rFonts w:cs="Times New Roman"/>
          <w:b/>
          <w:sz w:val="32"/>
          <w:szCs w:val="32"/>
        </w:rPr>
        <w:t xml:space="preserve"> </w:t>
      </w:r>
    </w:p>
    <w:p w14:paraId="1850F356" w14:textId="24198155" w:rsidR="000409A6" w:rsidRPr="00D76682" w:rsidRDefault="000409A6" w:rsidP="0083676C">
      <w:pPr>
        <w:jc w:val="center"/>
        <w:rPr>
          <w:rFonts w:cs="Times New Roman"/>
          <w:b/>
          <w:szCs w:val="24"/>
        </w:rPr>
      </w:pPr>
      <w:r w:rsidRPr="00D76682">
        <w:rPr>
          <w:rFonts w:cs="Times New Roman"/>
          <w:b/>
          <w:szCs w:val="24"/>
        </w:rPr>
        <w:t>ke smlouvě o dílo ze dne 16.12.2020</w:t>
      </w:r>
      <w:r w:rsidR="00960CE3">
        <w:rPr>
          <w:rFonts w:cs="Times New Roman"/>
          <w:b/>
          <w:szCs w:val="24"/>
        </w:rPr>
        <w:t xml:space="preserve"> </w:t>
      </w:r>
      <w:r w:rsidR="001A623F">
        <w:rPr>
          <w:rFonts w:cs="Times New Roman"/>
          <w:b/>
          <w:szCs w:val="24"/>
        </w:rPr>
        <w:t>ve znění dodatků č. 1 ze dne 12.8.2021, č. 2 ze dne 16.8.2021</w:t>
      </w:r>
      <w:r w:rsidR="00960CE3">
        <w:rPr>
          <w:rFonts w:cs="Times New Roman"/>
          <w:b/>
          <w:szCs w:val="24"/>
        </w:rPr>
        <w:t xml:space="preserve">, </w:t>
      </w:r>
      <w:r w:rsidR="001A623F">
        <w:rPr>
          <w:rFonts w:cs="Times New Roman"/>
          <w:b/>
          <w:szCs w:val="24"/>
        </w:rPr>
        <w:t xml:space="preserve">č. 3 ze dne </w:t>
      </w:r>
      <w:r w:rsidR="00F81416">
        <w:rPr>
          <w:rFonts w:cs="Times New Roman"/>
          <w:b/>
          <w:szCs w:val="24"/>
        </w:rPr>
        <w:t>15.9.2021</w:t>
      </w:r>
      <w:r w:rsidR="00960CE3">
        <w:rPr>
          <w:rFonts w:cs="Times New Roman"/>
          <w:b/>
          <w:szCs w:val="24"/>
        </w:rPr>
        <w:t xml:space="preserve"> a č. 4 ze dne </w:t>
      </w:r>
      <w:r w:rsidR="00880E03">
        <w:rPr>
          <w:rFonts w:cs="Times New Roman"/>
          <w:b/>
          <w:szCs w:val="24"/>
        </w:rPr>
        <w:t>15.10.2021</w:t>
      </w:r>
      <w:r w:rsidR="00960CE3">
        <w:rPr>
          <w:rFonts w:cs="Times New Roman"/>
          <w:b/>
          <w:szCs w:val="24"/>
        </w:rPr>
        <w:t xml:space="preserve"> </w:t>
      </w:r>
    </w:p>
    <w:p w14:paraId="0771E316" w14:textId="77777777" w:rsidR="0083676C" w:rsidRDefault="0083676C" w:rsidP="0083676C">
      <w:pPr>
        <w:pStyle w:val="Standard"/>
        <w:jc w:val="both"/>
        <w:rPr>
          <w:sz w:val="24"/>
          <w:szCs w:val="24"/>
        </w:rPr>
      </w:pPr>
    </w:p>
    <w:p w14:paraId="2D38E8AB" w14:textId="4AAF224A" w:rsidR="0083676C" w:rsidRDefault="0083676C" w:rsidP="0083676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I.</w:t>
      </w:r>
    </w:p>
    <w:p w14:paraId="331B9F2C" w14:textId="77777777" w:rsidR="003C4765" w:rsidRDefault="003C4765" w:rsidP="0083676C">
      <w:pPr>
        <w:jc w:val="center"/>
        <w:rPr>
          <w:rFonts w:cs="Times New Roman"/>
          <w:b/>
          <w:szCs w:val="24"/>
        </w:rPr>
      </w:pPr>
    </w:p>
    <w:p w14:paraId="28E9CCD1" w14:textId="25B4284D" w:rsidR="00B50180" w:rsidRDefault="00EE6503" w:rsidP="00B50180">
      <w:pPr>
        <w:pStyle w:val="Odstavecseseznamem"/>
        <w:numPr>
          <w:ilvl w:val="0"/>
          <w:numId w:val="7"/>
        </w:numPr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Smluvní strany</w:t>
      </w:r>
      <w:r w:rsidR="000409A6">
        <w:rPr>
          <w:rFonts w:cs="Times New Roman"/>
          <w:szCs w:val="24"/>
        </w:rPr>
        <w:t xml:space="preserve"> u</w:t>
      </w:r>
      <w:r w:rsidR="00AF6763">
        <w:rPr>
          <w:rFonts w:cs="Times New Roman"/>
          <w:szCs w:val="24"/>
        </w:rPr>
        <w:t xml:space="preserve">zavřely dne </w:t>
      </w:r>
      <w:r w:rsidR="000409A6">
        <w:rPr>
          <w:rFonts w:cs="Times New Roman"/>
          <w:szCs w:val="24"/>
        </w:rPr>
        <w:t>16</w:t>
      </w:r>
      <w:r w:rsidR="00AA22B5">
        <w:rPr>
          <w:rFonts w:cs="Times New Roman"/>
          <w:szCs w:val="24"/>
        </w:rPr>
        <w:t>.</w:t>
      </w:r>
      <w:r w:rsidR="000409A6">
        <w:rPr>
          <w:rFonts w:cs="Times New Roman"/>
          <w:szCs w:val="24"/>
        </w:rPr>
        <w:t>1</w:t>
      </w:r>
      <w:r w:rsidR="00C12D61">
        <w:rPr>
          <w:rFonts w:cs="Times New Roman"/>
          <w:szCs w:val="24"/>
        </w:rPr>
        <w:t>2</w:t>
      </w:r>
      <w:r w:rsidR="00AA22B5">
        <w:rPr>
          <w:rFonts w:cs="Times New Roman"/>
          <w:szCs w:val="24"/>
        </w:rPr>
        <w:t>.20</w:t>
      </w:r>
      <w:r w:rsidR="000409A6">
        <w:rPr>
          <w:rFonts w:cs="Times New Roman"/>
          <w:szCs w:val="24"/>
        </w:rPr>
        <w:t>20</w:t>
      </w:r>
      <w:r w:rsidR="00AF6763">
        <w:rPr>
          <w:rFonts w:cs="Times New Roman"/>
          <w:szCs w:val="24"/>
        </w:rPr>
        <w:t xml:space="preserve"> </w:t>
      </w:r>
      <w:r w:rsidR="00276A35">
        <w:rPr>
          <w:rFonts w:cs="Times New Roman"/>
          <w:szCs w:val="24"/>
        </w:rPr>
        <w:t>s</w:t>
      </w:r>
      <w:r w:rsidR="00AF6763">
        <w:rPr>
          <w:rFonts w:cs="Times New Roman"/>
          <w:szCs w:val="24"/>
        </w:rPr>
        <w:t>mlouvu</w:t>
      </w:r>
      <w:r w:rsidR="00C12D61">
        <w:rPr>
          <w:rFonts w:cs="Times New Roman"/>
          <w:szCs w:val="24"/>
        </w:rPr>
        <w:t xml:space="preserve"> </w:t>
      </w:r>
      <w:r w:rsidR="000409A6">
        <w:rPr>
          <w:rFonts w:cs="Times New Roman"/>
          <w:szCs w:val="24"/>
        </w:rPr>
        <w:t>o dílo ve věci stavebních prací spočívajících v nástavbě jednoho podlaží a rekonstrukci dvou stávajících podlaží zdravotního střediska v budově č. p. 764 pod adresou Železnobrodská 764/25 v Praze 9 – Kbely, která je součástí pozemku parc. č. 869/1, k. ú. Kbely, obec Praha.</w:t>
      </w:r>
      <w:r w:rsidR="00A42151">
        <w:rPr>
          <w:rFonts w:cs="Times New Roman"/>
          <w:szCs w:val="24"/>
        </w:rPr>
        <w:t xml:space="preserve"> Dne 12.8.2021 byl uzavřen dodatek č. 1 k této smlouvě</w:t>
      </w:r>
      <w:r w:rsidR="001A623F">
        <w:rPr>
          <w:rFonts w:cs="Times New Roman"/>
          <w:szCs w:val="24"/>
        </w:rPr>
        <w:t>,</w:t>
      </w:r>
      <w:r w:rsidR="00D76682">
        <w:rPr>
          <w:rFonts w:cs="Times New Roman"/>
          <w:szCs w:val="24"/>
        </w:rPr>
        <w:t xml:space="preserve"> dne 16.8.2021 byl uzavřen dodatek č. 2</w:t>
      </w:r>
      <w:r w:rsidR="00960CE3">
        <w:rPr>
          <w:rFonts w:cs="Times New Roman"/>
          <w:szCs w:val="24"/>
        </w:rPr>
        <w:t xml:space="preserve">, </w:t>
      </w:r>
      <w:r w:rsidR="00F81416">
        <w:rPr>
          <w:rFonts w:cs="Times New Roman"/>
          <w:szCs w:val="24"/>
        </w:rPr>
        <w:t xml:space="preserve"> dne 15.9.2021</w:t>
      </w:r>
      <w:r w:rsidR="001A623F">
        <w:rPr>
          <w:rFonts w:cs="Times New Roman"/>
          <w:szCs w:val="24"/>
        </w:rPr>
        <w:t xml:space="preserve"> byl uzavřen dodatek č. 3</w:t>
      </w:r>
      <w:r w:rsidR="00960CE3">
        <w:rPr>
          <w:rFonts w:cs="Times New Roman"/>
          <w:szCs w:val="24"/>
        </w:rPr>
        <w:t xml:space="preserve"> a dne </w:t>
      </w:r>
      <w:r w:rsidR="00880E03">
        <w:rPr>
          <w:rFonts w:cs="Times New Roman"/>
          <w:szCs w:val="24"/>
        </w:rPr>
        <w:t>15.10.2021</w:t>
      </w:r>
      <w:r w:rsidR="00960CE3">
        <w:rPr>
          <w:rFonts w:cs="Times New Roman"/>
          <w:szCs w:val="24"/>
        </w:rPr>
        <w:t xml:space="preserve"> byl uzavřen dodatek č. 4</w:t>
      </w:r>
      <w:r w:rsidR="00A42151">
        <w:rPr>
          <w:rFonts w:cs="Times New Roman"/>
          <w:szCs w:val="24"/>
        </w:rPr>
        <w:t>.</w:t>
      </w:r>
    </w:p>
    <w:p w14:paraId="670483AE" w14:textId="77777777" w:rsidR="00B50180" w:rsidRDefault="00B50180" w:rsidP="00B50180">
      <w:pPr>
        <w:pStyle w:val="Odstavecseseznamem"/>
        <w:ind w:left="360"/>
        <w:jc w:val="both"/>
        <w:rPr>
          <w:rFonts w:cs="Times New Roman"/>
          <w:szCs w:val="24"/>
        </w:rPr>
      </w:pPr>
    </w:p>
    <w:p w14:paraId="78776158" w14:textId="3688401D" w:rsidR="0083676C" w:rsidRDefault="0083676C" w:rsidP="0083676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II.</w:t>
      </w:r>
    </w:p>
    <w:p w14:paraId="45B62A69" w14:textId="77777777" w:rsidR="003C4765" w:rsidRDefault="003C4765" w:rsidP="0083676C">
      <w:pPr>
        <w:jc w:val="center"/>
        <w:rPr>
          <w:rFonts w:cs="Times New Roman"/>
          <w:b/>
          <w:szCs w:val="24"/>
        </w:rPr>
      </w:pPr>
    </w:p>
    <w:p w14:paraId="37AB42F1" w14:textId="64112B6B" w:rsidR="00F81416" w:rsidRPr="00880E03" w:rsidRDefault="00F81416" w:rsidP="00F81416">
      <w:pPr>
        <w:pStyle w:val="Odstavecseseznamem"/>
        <w:numPr>
          <w:ilvl w:val="0"/>
          <w:numId w:val="14"/>
        </w:numPr>
        <w:ind w:left="360"/>
        <w:jc w:val="both"/>
        <w:rPr>
          <w:rFonts w:cs="Times New Roman"/>
          <w:szCs w:val="24"/>
        </w:rPr>
      </w:pPr>
      <w:r w:rsidRPr="00880E03">
        <w:rPr>
          <w:rFonts w:cs="Times New Roman"/>
          <w:szCs w:val="24"/>
        </w:rPr>
        <w:t>Smluvní strany se dohodly na akceptaci změnových listů č. 1</w:t>
      </w:r>
      <w:r w:rsidR="00960CE3" w:rsidRPr="00880E03">
        <w:rPr>
          <w:rFonts w:cs="Times New Roman"/>
          <w:szCs w:val="24"/>
        </w:rPr>
        <w:t>3</w:t>
      </w:r>
      <w:r w:rsidRPr="00880E03">
        <w:rPr>
          <w:rFonts w:cs="Times New Roman"/>
          <w:szCs w:val="24"/>
        </w:rPr>
        <w:t xml:space="preserve">, </w:t>
      </w:r>
      <w:r w:rsidR="00960CE3" w:rsidRPr="00880E03">
        <w:rPr>
          <w:rFonts w:cs="Times New Roman"/>
          <w:szCs w:val="24"/>
        </w:rPr>
        <w:t>14, 15, 16, 17, 18, 19, 20</w:t>
      </w:r>
      <w:r w:rsidRPr="00880E03">
        <w:rPr>
          <w:rFonts w:cs="Times New Roman"/>
          <w:szCs w:val="24"/>
        </w:rPr>
        <w:t>,</w:t>
      </w:r>
      <w:r w:rsidR="00960CE3" w:rsidRPr="00880E03">
        <w:rPr>
          <w:rFonts w:cs="Times New Roman"/>
          <w:szCs w:val="24"/>
        </w:rPr>
        <w:t xml:space="preserve"> 21, 22, 23, 24, 25, 26, 27, 28, 29 a 30,</w:t>
      </w:r>
      <w:r w:rsidRPr="00880E03">
        <w:rPr>
          <w:rFonts w:cs="Times New Roman"/>
          <w:szCs w:val="24"/>
        </w:rPr>
        <w:t xml:space="preserve"> které tvoří přílohu tohoto dodatku č. </w:t>
      </w:r>
      <w:r w:rsidR="00960CE3" w:rsidRPr="00880E03">
        <w:rPr>
          <w:rFonts w:cs="Times New Roman"/>
          <w:szCs w:val="24"/>
        </w:rPr>
        <w:t>5</w:t>
      </w:r>
      <w:r w:rsidRPr="00880E03">
        <w:rPr>
          <w:rFonts w:cs="Times New Roman"/>
          <w:szCs w:val="24"/>
        </w:rPr>
        <w:t>.</w:t>
      </w:r>
    </w:p>
    <w:p w14:paraId="4033F43D" w14:textId="77777777" w:rsidR="00F81416" w:rsidRPr="00880E03" w:rsidRDefault="00F81416" w:rsidP="00F81416">
      <w:pPr>
        <w:pStyle w:val="Odstavecseseznamem"/>
        <w:ind w:left="360"/>
        <w:jc w:val="both"/>
        <w:rPr>
          <w:rFonts w:cs="Times New Roman"/>
          <w:szCs w:val="24"/>
        </w:rPr>
      </w:pPr>
    </w:p>
    <w:p w14:paraId="242D9616" w14:textId="7E49177E" w:rsidR="00F81416" w:rsidRPr="00880E03" w:rsidRDefault="00F81416" w:rsidP="00F81416">
      <w:pPr>
        <w:pStyle w:val="Odstavecseseznamem"/>
        <w:numPr>
          <w:ilvl w:val="0"/>
          <w:numId w:val="14"/>
        </w:numPr>
        <w:ind w:left="360"/>
        <w:jc w:val="both"/>
        <w:rPr>
          <w:rFonts w:cs="Times New Roman"/>
          <w:szCs w:val="24"/>
        </w:rPr>
      </w:pPr>
      <w:r w:rsidRPr="00880E03">
        <w:rPr>
          <w:rFonts w:cs="Times New Roman"/>
          <w:szCs w:val="24"/>
        </w:rPr>
        <w:t xml:space="preserve">Ve vazbě na akceptaci předmětných </w:t>
      </w:r>
      <w:r w:rsidR="00960CE3" w:rsidRPr="00880E03">
        <w:rPr>
          <w:rFonts w:cs="Times New Roman"/>
          <w:szCs w:val="24"/>
        </w:rPr>
        <w:t>18</w:t>
      </w:r>
      <w:r w:rsidRPr="00880E03">
        <w:rPr>
          <w:rFonts w:cs="Times New Roman"/>
          <w:szCs w:val="24"/>
        </w:rPr>
        <w:t xml:space="preserve"> změnových listů </w:t>
      </w:r>
      <w:r w:rsidR="003C4765" w:rsidRPr="00880E03">
        <w:rPr>
          <w:rFonts w:cs="Times New Roman"/>
          <w:szCs w:val="24"/>
        </w:rPr>
        <w:t xml:space="preserve">č. </w:t>
      </w:r>
      <w:r w:rsidR="00960CE3" w:rsidRPr="00880E03">
        <w:rPr>
          <w:rFonts w:cs="Times New Roman"/>
          <w:szCs w:val="24"/>
        </w:rPr>
        <w:t xml:space="preserve">13, 14, 15, 16, 17, 18, 19, 20, 21, 22, 23, 24, 25, 26, 27, 28, 29, 30 </w:t>
      </w:r>
      <w:r w:rsidRPr="00880E03">
        <w:rPr>
          <w:rFonts w:cs="Times New Roman"/>
          <w:szCs w:val="24"/>
        </w:rPr>
        <w:t>smluvní strany konstatují, že došlo ke změně ceny díla uvedené v čl. II.</w:t>
      </w:r>
      <w:r w:rsidR="003C4765" w:rsidRPr="00880E03">
        <w:rPr>
          <w:rFonts w:cs="Times New Roman"/>
          <w:szCs w:val="24"/>
        </w:rPr>
        <w:t xml:space="preserve"> odst. 2.2 výše uvedené smlouvy </w:t>
      </w:r>
      <w:r w:rsidRPr="00880E03">
        <w:rPr>
          <w:rFonts w:cs="Times New Roman"/>
          <w:szCs w:val="24"/>
        </w:rPr>
        <w:t>tak, že:</w:t>
      </w:r>
    </w:p>
    <w:p w14:paraId="1C23DC5D" w14:textId="77777777" w:rsidR="00960CE3" w:rsidRDefault="00960CE3" w:rsidP="00960CE3">
      <w:pPr>
        <w:pStyle w:val="Odstavecseseznamem"/>
        <w:ind w:left="360"/>
        <w:jc w:val="both"/>
        <w:rPr>
          <w:rFonts w:cs="Times New Roman"/>
          <w:szCs w:val="24"/>
        </w:rPr>
      </w:pPr>
    </w:p>
    <w:p w14:paraId="49D5D167" w14:textId="780E5621" w:rsidR="00960CE3" w:rsidRDefault="00960CE3" w:rsidP="00960CE3">
      <w:pPr>
        <w:pStyle w:val="Odstavecseseznamem"/>
        <w:numPr>
          <w:ilvl w:val="0"/>
          <w:numId w:val="16"/>
        </w:numPr>
        <w:ind w:left="720"/>
        <w:jc w:val="both"/>
        <w:rPr>
          <w:rFonts w:cs="Times New Roman"/>
          <w:szCs w:val="24"/>
        </w:rPr>
      </w:pPr>
      <w:r w:rsidRPr="00960CE3">
        <w:rPr>
          <w:rFonts w:cs="Times New Roman"/>
          <w:szCs w:val="24"/>
        </w:rPr>
        <w:t>původní cena díla bez DPH ve výši 37,779.752,92 Kč navýšená ve znění dodatku č. 1 o částku 946.186,31 Kč na částku 38,725.939,26 Kč, navýšen</w:t>
      </w:r>
      <w:r>
        <w:rPr>
          <w:rFonts w:cs="Times New Roman"/>
          <w:szCs w:val="24"/>
        </w:rPr>
        <w:t>á</w:t>
      </w:r>
      <w:r w:rsidRPr="00960CE3">
        <w:rPr>
          <w:rFonts w:cs="Times New Roman"/>
          <w:szCs w:val="24"/>
        </w:rPr>
        <w:t xml:space="preserve"> ve znění dodatku č. 4 o částku 669.145,58 Kč na částku 39,395.084,84 Kč</w:t>
      </w:r>
      <w:r>
        <w:rPr>
          <w:rFonts w:cs="Times New Roman"/>
          <w:szCs w:val="24"/>
        </w:rPr>
        <w:t>,</w:t>
      </w:r>
      <w:r w:rsidRPr="00960CE3">
        <w:rPr>
          <w:rFonts w:cs="Times New Roman"/>
          <w:szCs w:val="24"/>
        </w:rPr>
        <w:t xml:space="preserve"> </w:t>
      </w:r>
      <w:r w:rsidRPr="00960CE3">
        <w:rPr>
          <w:rFonts w:cs="Times New Roman"/>
          <w:b/>
          <w:szCs w:val="24"/>
        </w:rPr>
        <w:t xml:space="preserve">se </w:t>
      </w:r>
      <w:r>
        <w:rPr>
          <w:rFonts w:cs="Times New Roman"/>
          <w:b/>
          <w:szCs w:val="24"/>
        </w:rPr>
        <w:t>nově navyšuje o částku </w:t>
      </w:r>
      <w:r w:rsidRPr="00960CE3">
        <w:rPr>
          <w:rFonts w:cs="Times New Roman"/>
          <w:b/>
          <w:szCs w:val="24"/>
        </w:rPr>
        <w:t>4,043.441,43 Kč, tj. činí 43,438.526,27 Kč</w:t>
      </w:r>
      <w:r w:rsidRPr="00960CE3">
        <w:rPr>
          <w:rFonts w:cs="Times New Roman"/>
          <w:szCs w:val="24"/>
        </w:rPr>
        <w:t>;</w:t>
      </w:r>
    </w:p>
    <w:p w14:paraId="26C99A6D" w14:textId="77777777" w:rsidR="00960CE3" w:rsidRDefault="00960CE3" w:rsidP="00960CE3">
      <w:pPr>
        <w:pStyle w:val="Odstavecseseznamem"/>
        <w:jc w:val="both"/>
        <w:rPr>
          <w:rFonts w:cs="Times New Roman"/>
          <w:szCs w:val="24"/>
        </w:rPr>
      </w:pPr>
    </w:p>
    <w:p w14:paraId="4592DE04" w14:textId="36132D01" w:rsidR="00960CE3" w:rsidRPr="00960CE3" w:rsidRDefault="00960CE3" w:rsidP="00960CE3">
      <w:pPr>
        <w:pStyle w:val="Odstavecseseznamem"/>
        <w:numPr>
          <w:ilvl w:val="0"/>
          <w:numId w:val="16"/>
        </w:numPr>
        <w:ind w:left="720"/>
        <w:jc w:val="both"/>
        <w:rPr>
          <w:rFonts w:cs="Times New Roman"/>
          <w:b/>
          <w:szCs w:val="24"/>
        </w:rPr>
      </w:pPr>
      <w:r w:rsidRPr="00960CE3">
        <w:rPr>
          <w:rFonts w:cs="Times New Roman"/>
          <w:szCs w:val="24"/>
        </w:rPr>
        <w:t>původní DPH 21</w:t>
      </w:r>
      <w:r>
        <w:rPr>
          <w:rFonts w:cs="Times New Roman"/>
          <w:szCs w:val="24"/>
        </w:rPr>
        <w:t xml:space="preserve"> </w:t>
      </w:r>
      <w:r w:rsidRPr="00960CE3">
        <w:rPr>
          <w:rFonts w:cs="Times New Roman"/>
          <w:szCs w:val="24"/>
        </w:rPr>
        <w:t>% ve výši 7,933.748,12 Kč navýšené</w:t>
      </w:r>
      <w:r>
        <w:rPr>
          <w:rFonts w:cs="Times New Roman"/>
          <w:szCs w:val="24"/>
        </w:rPr>
        <w:t xml:space="preserve"> ve znění dodatku č. 1 o částku </w:t>
      </w:r>
      <w:r w:rsidRPr="00960CE3">
        <w:rPr>
          <w:rFonts w:cs="Times New Roman"/>
          <w:szCs w:val="24"/>
        </w:rPr>
        <w:t>198.699,13 Kč na částku 8,132.447,25 Kč</w:t>
      </w:r>
      <w:r>
        <w:rPr>
          <w:rFonts w:cs="Times New Roman"/>
          <w:szCs w:val="24"/>
        </w:rPr>
        <w:t>,</w:t>
      </w:r>
      <w:r w:rsidRPr="00960CE3">
        <w:rPr>
          <w:rFonts w:cs="Times New Roman"/>
          <w:szCs w:val="24"/>
        </w:rPr>
        <w:t xml:space="preserve"> navýšené ve znění dodatku č. 4 o </w:t>
      </w:r>
      <w:r w:rsidRPr="00960CE3">
        <w:rPr>
          <w:rFonts w:cs="Times New Roman"/>
          <w:szCs w:val="24"/>
        </w:rPr>
        <w:lastRenderedPageBreak/>
        <w:t>částku 140.520,72 Kč na částku 8,272.967,97 Kč</w:t>
      </w:r>
      <w:r>
        <w:rPr>
          <w:rFonts w:cs="Times New Roman"/>
          <w:szCs w:val="24"/>
        </w:rPr>
        <w:t>, se</w:t>
      </w:r>
      <w:r w:rsidRPr="00960CE3"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nově navyšuje o částku </w:t>
      </w:r>
      <w:r w:rsidRPr="00960CE3">
        <w:rPr>
          <w:rFonts w:cs="Times New Roman"/>
          <w:b/>
          <w:szCs w:val="24"/>
        </w:rPr>
        <w:t xml:space="preserve">849.122,70 Kč, tj. činí 9,122.090,67 Kč; </w:t>
      </w:r>
    </w:p>
    <w:p w14:paraId="030F60E2" w14:textId="50FD1A77" w:rsidR="00F81416" w:rsidRDefault="00960CE3" w:rsidP="00960CE3">
      <w:pPr>
        <w:pStyle w:val="Odstavecseseznamem"/>
        <w:numPr>
          <w:ilvl w:val="0"/>
          <w:numId w:val="16"/>
        </w:numPr>
        <w:ind w:left="720"/>
        <w:jc w:val="both"/>
        <w:rPr>
          <w:rFonts w:cs="Times New Roman"/>
          <w:szCs w:val="24"/>
        </w:rPr>
      </w:pPr>
      <w:r w:rsidRPr="00960CE3">
        <w:rPr>
          <w:rFonts w:cs="Times New Roman"/>
          <w:szCs w:val="24"/>
        </w:rPr>
        <w:t>původní cena díla celkem včetně 21</w:t>
      </w:r>
      <w:r>
        <w:rPr>
          <w:rFonts w:cs="Times New Roman"/>
          <w:szCs w:val="24"/>
        </w:rPr>
        <w:t xml:space="preserve"> </w:t>
      </w:r>
      <w:r w:rsidRPr="00960CE3">
        <w:rPr>
          <w:rFonts w:cs="Times New Roman"/>
          <w:szCs w:val="24"/>
        </w:rPr>
        <w:t xml:space="preserve">% DPH ve výši 45,713.501,07 </w:t>
      </w:r>
      <w:r>
        <w:rPr>
          <w:rFonts w:cs="Times New Roman"/>
          <w:szCs w:val="24"/>
        </w:rPr>
        <w:t xml:space="preserve">Kč </w:t>
      </w:r>
      <w:r w:rsidRPr="00960CE3">
        <w:rPr>
          <w:rFonts w:cs="Times New Roman"/>
          <w:szCs w:val="24"/>
        </w:rPr>
        <w:t>navýšená ve znění dodatku č. 1 o částku 1,144.885,43 Kč na částku 46,858.386,50 Kč, navýšená ve znění dodatku č. 4 o částku 809.666,15 Kč na částku 47,668.052,65 Kč</w:t>
      </w:r>
      <w:r>
        <w:rPr>
          <w:rFonts w:cs="Times New Roman"/>
          <w:szCs w:val="24"/>
        </w:rPr>
        <w:t xml:space="preserve">, </w:t>
      </w:r>
      <w:r w:rsidRPr="00960CE3">
        <w:rPr>
          <w:rFonts w:cs="Times New Roman"/>
          <w:b/>
          <w:szCs w:val="24"/>
        </w:rPr>
        <w:t>se nově navyšuje o částku 4,892.564,13 Kč, tj. činí částku 52,560.616,78 Kč</w:t>
      </w:r>
      <w:r>
        <w:rPr>
          <w:rFonts w:cs="Times New Roman"/>
          <w:szCs w:val="24"/>
        </w:rPr>
        <w:t>.</w:t>
      </w:r>
    </w:p>
    <w:p w14:paraId="1F361BBF" w14:textId="77777777" w:rsidR="00960CE3" w:rsidRPr="00960CE3" w:rsidRDefault="00960CE3" w:rsidP="00960CE3">
      <w:pPr>
        <w:pStyle w:val="Odstavecseseznamem"/>
        <w:jc w:val="both"/>
        <w:rPr>
          <w:rFonts w:cs="Times New Roman"/>
          <w:szCs w:val="24"/>
        </w:rPr>
      </w:pPr>
    </w:p>
    <w:p w14:paraId="3F8EF016" w14:textId="0FB687FA" w:rsidR="00960CE3" w:rsidRDefault="00960CE3" w:rsidP="00F81416">
      <w:pPr>
        <w:pStyle w:val="Odstavecseseznamem"/>
        <w:numPr>
          <w:ilvl w:val="0"/>
          <w:numId w:val="14"/>
        </w:numPr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Ve vazbě na výše uvedené změny se smluvní strany dohodly na změně termínu pro dokončení celého díla, které musí být dokončeno</w:t>
      </w:r>
      <w:r w:rsidR="0068650C">
        <w:rPr>
          <w:rFonts w:cs="Times New Roman"/>
          <w:szCs w:val="24"/>
        </w:rPr>
        <w:t xml:space="preserve"> řádně a včas nejpozději do dne 25.5.2022, když zhotovitel je povinen před tímto termínem, a to nejpozději do dne 15.2</w:t>
      </w:r>
      <w:r>
        <w:rPr>
          <w:rFonts w:cs="Times New Roman"/>
          <w:szCs w:val="24"/>
        </w:rPr>
        <w:t>.</w:t>
      </w:r>
      <w:r w:rsidR="0068650C">
        <w:rPr>
          <w:rFonts w:cs="Times New Roman"/>
          <w:szCs w:val="24"/>
        </w:rPr>
        <w:t>2022 předat objednateli příslušné části předmětné stavby pro montáže osvětlení a prvků PC techniky v prostorách ve 2. a 3. nadzemním podlaží předmětné budovy a</w:t>
      </w:r>
      <w:r>
        <w:rPr>
          <w:rFonts w:cs="Times New Roman"/>
          <w:szCs w:val="24"/>
        </w:rPr>
        <w:t xml:space="preserve"> </w:t>
      </w:r>
      <w:r w:rsidR="0068650C">
        <w:rPr>
          <w:rFonts w:cs="Times New Roman"/>
          <w:szCs w:val="24"/>
        </w:rPr>
        <w:t>dále je zhotovitel povinen před termínem 25.5.2022 předat řádně dokončené veškeré stavební práce uvnitř 2. a 3. nadzemního podlaží předmětné budovy, včetně přístupových cest , a to nejpozději do dne 10.3.2022, aby tyto prostory mohly být předány jednotlivým konkrétním uživatelům do užívání.</w:t>
      </w:r>
    </w:p>
    <w:p w14:paraId="3F57987B" w14:textId="77777777" w:rsidR="0068650C" w:rsidRDefault="0068650C" w:rsidP="0068650C">
      <w:pPr>
        <w:pStyle w:val="Odstavecseseznamem"/>
        <w:ind w:left="360"/>
        <w:jc w:val="both"/>
        <w:rPr>
          <w:rFonts w:cs="Times New Roman"/>
          <w:szCs w:val="24"/>
        </w:rPr>
      </w:pPr>
    </w:p>
    <w:p w14:paraId="688B3405" w14:textId="1DBD904E" w:rsidR="0068650C" w:rsidRDefault="00ED5E6A" w:rsidP="00F81416">
      <w:pPr>
        <w:pStyle w:val="Odstavecseseznamem"/>
        <w:numPr>
          <w:ilvl w:val="0"/>
          <w:numId w:val="14"/>
        </w:numPr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Smluvní strany konstatují, že i na lhůty uvedené v čl. II. odst. 3 tohoto dodatku č. 5, a to na každou lhůtu samostatně, se vztahuje ustanovení čl. VI. smlouvy o dílo ze dne 16.12.2020.</w:t>
      </w:r>
    </w:p>
    <w:p w14:paraId="3165C965" w14:textId="77777777" w:rsidR="00960CE3" w:rsidRDefault="00960CE3" w:rsidP="00960CE3">
      <w:pPr>
        <w:pStyle w:val="Odstavecseseznamem"/>
        <w:ind w:left="360"/>
        <w:jc w:val="both"/>
        <w:rPr>
          <w:rFonts w:cs="Times New Roman"/>
          <w:szCs w:val="24"/>
        </w:rPr>
      </w:pPr>
    </w:p>
    <w:p w14:paraId="000481B1" w14:textId="76E89E49" w:rsidR="00F81416" w:rsidRDefault="00F81416" w:rsidP="00F81416">
      <w:pPr>
        <w:pStyle w:val="Odstavecseseznamem"/>
        <w:numPr>
          <w:ilvl w:val="0"/>
          <w:numId w:val="14"/>
        </w:numPr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Ostatní ustanovení předmětné smlouvy o dílo zůstávají tímto dodatkem č. </w:t>
      </w:r>
      <w:r w:rsidR="00960CE3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 nedotčena.</w:t>
      </w:r>
    </w:p>
    <w:p w14:paraId="18ED2BA3" w14:textId="77777777" w:rsidR="00960CE3" w:rsidRDefault="00960CE3" w:rsidP="001019B0">
      <w:pPr>
        <w:pStyle w:val="Odstavecseseznamem"/>
        <w:ind w:left="0"/>
        <w:jc w:val="center"/>
        <w:rPr>
          <w:rFonts w:cs="Times New Roman"/>
          <w:b/>
          <w:szCs w:val="24"/>
        </w:rPr>
      </w:pPr>
    </w:p>
    <w:p w14:paraId="41F8A88E" w14:textId="7753147E" w:rsidR="001019B0" w:rsidRDefault="001019B0" w:rsidP="001019B0">
      <w:pPr>
        <w:pStyle w:val="Odstavecseseznamem"/>
        <w:ind w:left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III.</w:t>
      </w:r>
    </w:p>
    <w:p w14:paraId="5171B4F1" w14:textId="77777777" w:rsidR="003C4765" w:rsidRDefault="003C4765" w:rsidP="001019B0">
      <w:pPr>
        <w:pStyle w:val="Odstavecseseznamem"/>
        <w:ind w:left="0"/>
        <w:jc w:val="center"/>
        <w:rPr>
          <w:rFonts w:cs="Times New Roman"/>
          <w:b/>
          <w:szCs w:val="24"/>
        </w:rPr>
      </w:pPr>
    </w:p>
    <w:p w14:paraId="1E4497E0" w14:textId="7A26DB93" w:rsidR="0083676C" w:rsidRDefault="0083676C" w:rsidP="0083676C">
      <w:pPr>
        <w:pStyle w:val="Odstavecseseznamem"/>
        <w:numPr>
          <w:ilvl w:val="0"/>
          <w:numId w:val="9"/>
        </w:numPr>
        <w:ind w:left="360"/>
        <w:jc w:val="both"/>
        <w:rPr>
          <w:rFonts w:cs="Times New Roman"/>
          <w:szCs w:val="24"/>
        </w:rPr>
      </w:pPr>
      <w:r w:rsidRPr="0083676C">
        <w:rPr>
          <w:rFonts w:cs="Times New Roman"/>
          <w:szCs w:val="24"/>
        </w:rPr>
        <w:t>T</w:t>
      </w:r>
      <w:r w:rsidR="000409A6">
        <w:rPr>
          <w:rFonts w:cs="Times New Roman"/>
          <w:szCs w:val="24"/>
        </w:rPr>
        <w:t>en</w:t>
      </w:r>
      <w:r w:rsidRPr="0083676C">
        <w:rPr>
          <w:rFonts w:cs="Times New Roman"/>
          <w:szCs w:val="24"/>
        </w:rPr>
        <w:t xml:space="preserve">to </w:t>
      </w:r>
      <w:r w:rsidR="000409A6">
        <w:rPr>
          <w:rFonts w:cs="Times New Roman"/>
          <w:szCs w:val="24"/>
        </w:rPr>
        <w:t xml:space="preserve">dodatek č. </w:t>
      </w:r>
      <w:r w:rsidR="00960CE3">
        <w:rPr>
          <w:rFonts w:cs="Times New Roman"/>
          <w:szCs w:val="24"/>
        </w:rPr>
        <w:t>5</w:t>
      </w:r>
      <w:r w:rsidRPr="0083676C">
        <w:rPr>
          <w:rFonts w:cs="Times New Roman"/>
          <w:szCs w:val="24"/>
        </w:rPr>
        <w:t xml:space="preserve"> je uzavřen ve </w:t>
      </w:r>
      <w:r w:rsidR="00A85FA7">
        <w:rPr>
          <w:rFonts w:cs="Times New Roman"/>
          <w:szCs w:val="24"/>
        </w:rPr>
        <w:t>2</w:t>
      </w:r>
      <w:r w:rsidRPr="0083676C">
        <w:rPr>
          <w:rFonts w:cs="Times New Roman"/>
          <w:szCs w:val="24"/>
        </w:rPr>
        <w:t xml:space="preserve"> vyhotoveních, z nichž každá strana obdrží po </w:t>
      </w:r>
      <w:r w:rsidR="00A85FA7">
        <w:rPr>
          <w:rFonts w:cs="Times New Roman"/>
          <w:szCs w:val="24"/>
        </w:rPr>
        <w:t>1</w:t>
      </w:r>
      <w:r w:rsidRPr="0083676C">
        <w:rPr>
          <w:rFonts w:cs="Times New Roman"/>
          <w:szCs w:val="24"/>
        </w:rPr>
        <w:t xml:space="preserve"> </w:t>
      </w:r>
      <w:r w:rsidR="000409A6">
        <w:rPr>
          <w:rFonts w:cs="Times New Roman"/>
          <w:szCs w:val="24"/>
        </w:rPr>
        <w:t xml:space="preserve">podepsaném </w:t>
      </w:r>
      <w:r w:rsidRPr="0083676C">
        <w:rPr>
          <w:rFonts w:cs="Times New Roman"/>
          <w:szCs w:val="24"/>
        </w:rPr>
        <w:t>vyhotovení.</w:t>
      </w:r>
    </w:p>
    <w:p w14:paraId="1ED2CC11" w14:textId="77777777" w:rsidR="00C842EB" w:rsidRDefault="00C842EB" w:rsidP="00C842EB">
      <w:pPr>
        <w:pStyle w:val="Odstavecseseznamem"/>
        <w:ind w:left="360"/>
        <w:jc w:val="both"/>
        <w:rPr>
          <w:rFonts w:cs="Times New Roman"/>
          <w:szCs w:val="24"/>
        </w:rPr>
      </w:pPr>
    </w:p>
    <w:p w14:paraId="6C64E6AD" w14:textId="5E069D61" w:rsidR="0083676C" w:rsidRDefault="0083676C" w:rsidP="0083676C">
      <w:pPr>
        <w:pStyle w:val="Odstavecseseznamem"/>
        <w:numPr>
          <w:ilvl w:val="0"/>
          <w:numId w:val="9"/>
        </w:numPr>
        <w:ind w:left="360"/>
        <w:jc w:val="both"/>
        <w:rPr>
          <w:rFonts w:cs="Times New Roman"/>
          <w:szCs w:val="24"/>
        </w:rPr>
      </w:pPr>
      <w:r w:rsidRPr="0083676C">
        <w:rPr>
          <w:rFonts w:cs="Times New Roman"/>
          <w:szCs w:val="24"/>
        </w:rPr>
        <w:t>S</w:t>
      </w:r>
      <w:r w:rsidR="000409A6">
        <w:rPr>
          <w:rFonts w:cs="Times New Roman"/>
          <w:szCs w:val="24"/>
        </w:rPr>
        <w:t>mluvní s</w:t>
      </w:r>
      <w:r w:rsidRPr="0083676C">
        <w:rPr>
          <w:rFonts w:cs="Times New Roman"/>
          <w:szCs w:val="24"/>
        </w:rPr>
        <w:t>trany po přečtení t</w:t>
      </w:r>
      <w:r w:rsidR="000409A6">
        <w:rPr>
          <w:rFonts w:cs="Times New Roman"/>
          <w:szCs w:val="24"/>
        </w:rPr>
        <w:t>oho</w:t>
      </w:r>
      <w:r w:rsidRPr="0083676C">
        <w:rPr>
          <w:rFonts w:cs="Times New Roman"/>
          <w:szCs w:val="24"/>
        </w:rPr>
        <w:t xml:space="preserve">to </w:t>
      </w:r>
      <w:r w:rsidR="000409A6">
        <w:rPr>
          <w:rFonts w:cs="Times New Roman"/>
          <w:szCs w:val="24"/>
        </w:rPr>
        <w:t xml:space="preserve">dodatku č. </w:t>
      </w:r>
      <w:r w:rsidR="00960CE3">
        <w:rPr>
          <w:rFonts w:cs="Times New Roman"/>
          <w:szCs w:val="24"/>
        </w:rPr>
        <w:t xml:space="preserve">5 </w:t>
      </w:r>
      <w:r w:rsidRPr="0083676C">
        <w:rPr>
          <w:rFonts w:cs="Times New Roman"/>
          <w:szCs w:val="24"/>
        </w:rPr>
        <w:t>prohlašují, že souhlasí s</w:t>
      </w:r>
      <w:r w:rsidR="000409A6">
        <w:rPr>
          <w:rFonts w:cs="Times New Roman"/>
          <w:szCs w:val="24"/>
        </w:rPr>
        <w:t> </w:t>
      </w:r>
      <w:r w:rsidRPr="0083676C">
        <w:rPr>
          <w:rFonts w:cs="Times New Roman"/>
          <w:szCs w:val="24"/>
        </w:rPr>
        <w:t>je</w:t>
      </w:r>
      <w:r w:rsidR="000409A6">
        <w:rPr>
          <w:rFonts w:cs="Times New Roman"/>
          <w:szCs w:val="24"/>
        </w:rPr>
        <w:t xml:space="preserve">ho </w:t>
      </w:r>
      <w:r w:rsidRPr="0083676C">
        <w:rPr>
          <w:rFonts w:cs="Times New Roman"/>
          <w:szCs w:val="24"/>
        </w:rPr>
        <w:t>obsahem, že t</w:t>
      </w:r>
      <w:r w:rsidR="000409A6">
        <w:rPr>
          <w:rFonts w:cs="Times New Roman"/>
          <w:szCs w:val="24"/>
        </w:rPr>
        <w:t>en</w:t>
      </w:r>
      <w:r w:rsidRPr="0083676C">
        <w:rPr>
          <w:rFonts w:cs="Times New Roman"/>
          <w:szCs w:val="24"/>
        </w:rPr>
        <w:t xml:space="preserve">to </w:t>
      </w:r>
      <w:r w:rsidR="000409A6">
        <w:rPr>
          <w:rFonts w:cs="Times New Roman"/>
          <w:szCs w:val="24"/>
        </w:rPr>
        <w:t xml:space="preserve">dodatek č. </w:t>
      </w:r>
      <w:r w:rsidR="00960CE3">
        <w:rPr>
          <w:rFonts w:cs="Times New Roman"/>
          <w:szCs w:val="24"/>
        </w:rPr>
        <w:t>5</w:t>
      </w:r>
      <w:r w:rsidRPr="0083676C">
        <w:rPr>
          <w:rFonts w:cs="Times New Roman"/>
          <w:szCs w:val="24"/>
        </w:rPr>
        <w:t xml:space="preserve"> byl sepsán vážně, určitě, srozumitelně a na základě jejich pravé a svobodné vůle, na důkaz čehož připojují níže své podpisy.</w:t>
      </w:r>
    </w:p>
    <w:p w14:paraId="074762A6" w14:textId="77777777" w:rsidR="00B77879" w:rsidRDefault="00B77879" w:rsidP="00B77879">
      <w:pPr>
        <w:pStyle w:val="Odstavecseseznamem"/>
        <w:ind w:left="360"/>
        <w:jc w:val="both"/>
        <w:rPr>
          <w:rFonts w:cs="Times New Roman"/>
          <w:szCs w:val="24"/>
        </w:rPr>
      </w:pPr>
    </w:p>
    <w:p w14:paraId="7BC31D49" w14:textId="6186569E" w:rsidR="00B77879" w:rsidRPr="0083676C" w:rsidRDefault="00B77879" w:rsidP="0083676C">
      <w:pPr>
        <w:pStyle w:val="Odstavecseseznamem"/>
        <w:numPr>
          <w:ilvl w:val="0"/>
          <w:numId w:val="9"/>
        </w:numPr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0409A6">
        <w:rPr>
          <w:rFonts w:cs="Times New Roman"/>
          <w:szCs w:val="24"/>
        </w:rPr>
        <w:t>ent</w:t>
      </w:r>
      <w:r>
        <w:rPr>
          <w:rFonts w:cs="Times New Roman"/>
          <w:szCs w:val="24"/>
        </w:rPr>
        <w:t xml:space="preserve">o </w:t>
      </w:r>
      <w:r w:rsidR="000409A6">
        <w:rPr>
          <w:rFonts w:cs="Times New Roman"/>
          <w:szCs w:val="24"/>
        </w:rPr>
        <w:t xml:space="preserve">dodatek č. </w:t>
      </w:r>
      <w:r w:rsidR="00960CE3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 nabývá účinnosti dnem zveřejnění</w:t>
      </w:r>
      <w:r w:rsidR="000409A6">
        <w:rPr>
          <w:rFonts w:cs="Times New Roman"/>
          <w:szCs w:val="24"/>
        </w:rPr>
        <w:t xml:space="preserve"> v registru smluv dle zákona č. </w:t>
      </w:r>
      <w:r>
        <w:rPr>
          <w:rFonts w:cs="Times New Roman"/>
          <w:szCs w:val="24"/>
        </w:rPr>
        <w:t>340/2015 Sb., o registru smluv.</w:t>
      </w:r>
    </w:p>
    <w:p w14:paraId="7157F5E2" w14:textId="77777777" w:rsidR="003C4765" w:rsidRDefault="003C4765" w:rsidP="0083676C">
      <w:pPr>
        <w:jc w:val="both"/>
        <w:rPr>
          <w:rFonts w:cs="Times New Roman"/>
          <w:szCs w:val="24"/>
        </w:rPr>
      </w:pPr>
    </w:p>
    <w:p w14:paraId="08AA606B" w14:textId="0FACFF76" w:rsidR="0083676C" w:rsidRPr="00192ED9" w:rsidRDefault="0083676C" w:rsidP="0083676C">
      <w:pPr>
        <w:pStyle w:val="Standard"/>
        <w:rPr>
          <w:sz w:val="24"/>
          <w:szCs w:val="24"/>
        </w:rPr>
      </w:pPr>
      <w:r w:rsidRPr="00192ED9">
        <w:rPr>
          <w:sz w:val="24"/>
          <w:szCs w:val="24"/>
        </w:rPr>
        <w:t xml:space="preserve">V Praze dne </w:t>
      </w:r>
      <w:r w:rsidR="006516D9">
        <w:rPr>
          <w:sz w:val="24"/>
          <w:szCs w:val="24"/>
        </w:rPr>
        <w:t>15.10.2021</w:t>
      </w:r>
      <w:r w:rsidR="006516D9">
        <w:rPr>
          <w:sz w:val="24"/>
          <w:szCs w:val="24"/>
        </w:rPr>
        <w:tab/>
      </w:r>
      <w:r w:rsidR="006516D9">
        <w:rPr>
          <w:sz w:val="24"/>
          <w:szCs w:val="24"/>
        </w:rPr>
        <w:tab/>
      </w:r>
      <w:r w:rsidRPr="00192ED9">
        <w:rPr>
          <w:sz w:val="24"/>
          <w:szCs w:val="24"/>
        </w:rPr>
        <w:tab/>
      </w:r>
      <w:r w:rsidRPr="00192ED9">
        <w:rPr>
          <w:sz w:val="24"/>
          <w:szCs w:val="24"/>
        </w:rPr>
        <w:tab/>
        <w:t>V </w:t>
      </w:r>
      <w:r w:rsidR="004C6851">
        <w:rPr>
          <w:sz w:val="24"/>
          <w:szCs w:val="24"/>
        </w:rPr>
        <w:t>Praze</w:t>
      </w:r>
      <w:r w:rsidRPr="00192ED9">
        <w:rPr>
          <w:sz w:val="24"/>
          <w:szCs w:val="24"/>
        </w:rPr>
        <w:t xml:space="preserve"> dne </w:t>
      </w:r>
      <w:r w:rsidR="006516D9">
        <w:rPr>
          <w:sz w:val="24"/>
          <w:szCs w:val="24"/>
        </w:rPr>
        <w:t>15.10.2021</w:t>
      </w:r>
      <w:bookmarkStart w:id="0" w:name="_GoBack"/>
      <w:bookmarkEnd w:id="0"/>
    </w:p>
    <w:p w14:paraId="489E1D99" w14:textId="77777777" w:rsidR="00452DD3" w:rsidRDefault="00452DD3" w:rsidP="0083676C">
      <w:pPr>
        <w:pStyle w:val="Standard"/>
        <w:rPr>
          <w:sz w:val="24"/>
          <w:szCs w:val="24"/>
        </w:rPr>
      </w:pPr>
    </w:p>
    <w:p w14:paraId="0B10099C" w14:textId="77777777" w:rsidR="002B4D9E" w:rsidRDefault="002B4D9E" w:rsidP="0083676C">
      <w:pPr>
        <w:pStyle w:val="Standard"/>
        <w:rPr>
          <w:sz w:val="24"/>
          <w:szCs w:val="24"/>
        </w:rPr>
      </w:pPr>
    </w:p>
    <w:p w14:paraId="6CAAEFF0" w14:textId="77777777" w:rsidR="0083676C" w:rsidRPr="00192ED9" w:rsidRDefault="0083676C" w:rsidP="0083676C">
      <w:pPr>
        <w:pStyle w:val="Standard"/>
        <w:rPr>
          <w:sz w:val="24"/>
          <w:szCs w:val="24"/>
        </w:rPr>
      </w:pPr>
      <w:r w:rsidRPr="00192ED9">
        <w:rPr>
          <w:sz w:val="24"/>
          <w:szCs w:val="24"/>
        </w:rPr>
        <w:t>_______________________________</w:t>
      </w:r>
      <w:r w:rsidRPr="00192ED9">
        <w:rPr>
          <w:sz w:val="24"/>
          <w:szCs w:val="24"/>
        </w:rPr>
        <w:tab/>
      </w:r>
      <w:r w:rsidRPr="00192ED9">
        <w:rPr>
          <w:sz w:val="24"/>
          <w:szCs w:val="24"/>
        </w:rPr>
        <w:tab/>
        <w:t>________________________________</w:t>
      </w:r>
    </w:p>
    <w:p w14:paraId="6959ADBA" w14:textId="096BED61" w:rsidR="00AA22B5" w:rsidRPr="003C2188" w:rsidRDefault="00AA22B5" w:rsidP="0083676C">
      <w:pPr>
        <w:rPr>
          <w:rFonts w:cs="Times New Roman"/>
          <w:b/>
          <w:szCs w:val="24"/>
        </w:rPr>
      </w:pPr>
      <w:r w:rsidRPr="003C2188">
        <w:rPr>
          <w:rFonts w:cs="Times New Roman"/>
          <w:b/>
          <w:szCs w:val="24"/>
        </w:rPr>
        <w:t>Městská část Praha 19</w:t>
      </w:r>
      <w:r w:rsidR="004F2FE0" w:rsidRPr="003C2188">
        <w:rPr>
          <w:rFonts w:cs="Times New Roman"/>
          <w:b/>
          <w:szCs w:val="24"/>
        </w:rPr>
        <w:tab/>
      </w:r>
      <w:r w:rsidR="004F2FE0" w:rsidRPr="003C2188">
        <w:rPr>
          <w:rFonts w:cs="Times New Roman"/>
          <w:b/>
          <w:szCs w:val="24"/>
        </w:rPr>
        <w:tab/>
      </w:r>
      <w:r w:rsidR="004F2FE0" w:rsidRPr="003C2188">
        <w:rPr>
          <w:rFonts w:cs="Times New Roman"/>
          <w:b/>
          <w:szCs w:val="24"/>
        </w:rPr>
        <w:tab/>
      </w:r>
      <w:r w:rsidR="004F2FE0" w:rsidRPr="003C2188">
        <w:rPr>
          <w:rFonts w:cs="Times New Roman"/>
          <w:b/>
          <w:szCs w:val="24"/>
        </w:rPr>
        <w:tab/>
      </w:r>
      <w:r w:rsidR="000409A6" w:rsidRPr="003C2188">
        <w:rPr>
          <w:rFonts w:cs="Times New Roman"/>
          <w:b/>
          <w:szCs w:val="24"/>
        </w:rPr>
        <w:t>ACG – Real s.r.o.</w:t>
      </w:r>
    </w:p>
    <w:p w14:paraId="39E06275" w14:textId="7F983B36" w:rsidR="0083676C" w:rsidRDefault="004B67B9" w:rsidP="00D17EC3">
      <w:pPr>
        <w:rPr>
          <w:rFonts w:cs="Times New Roman"/>
          <w:szCs w:val="24"/>
        </w:rPr>
      </w:pPr>
      <w:r w:rsidRPr="00AA22B5">
        <w:rPr>
          <w:rFonts w:cs="Times New Roman"/>
          <w:szCs w:val="24"/>
        </w:rPr>
        <w:t>Pavel Žďárský</w:t>
      </w:r>
      <w:r w:rsidR="0083676C" w:rsidRPr="00AA22B5">
        <w:rPr>
          <w:rFonts w:cs="Times New Roman"/>
          <w:szCs w:val="24"/>
        </w:rPr>
        <w:t>, starosta</w:t>
      </w:r>
      <w:r w:rsidR="00C12D61">
        <w:rPr>
          <w:rFonts w:cs="Times New Roman"/>
          <w:szCs w:val="24"/>
        </w:rPr>
        <w:tab/>
      </w:r>
      <w:r w:rsidR="00C12D61">
        <w:rPr>
          <w:rFonts w:cs="Times New Roman"/>
          <w:szCs w:val="24"/>
        </w:rPr>
        <w:tab/>
      </w:r>
      <w:r w:rsidR="00C12D61">
        <w:rPr>
          <w:rFonts w:cs="Times New Roman"/>
          <w:szCs w:val="24"/>
        </w:rPr>
        <w:tab/>
      </w:r>
      <w:r w:rsidR="00C12D61">
        <w:rPr>
          <w:rFonts w:cs="Times New Roman"/>
          <w:szCs w:val="24"/>
        </w:rPr>
        <w:tab/>
      </w:r>
      <w:r w:rsidR="000409A6">
        <w:rPr>
          <w:rFonts w:cs="Times New Roman"/>
          <w:szCs w:val="24"/>
        </w:rPr>
        <w:t>Martin Svoboda</w:t>
      </w:r>
      <w:r w:rsidR="00C12D61">
        <w:rPr>
          <w:rFonts w:cs="Times New Roman"/>
          <w:szCs w:val="24"/>
        </w:rPr>
        <w:t xml:space="preserve">, </w:t>
      </w:r>
      <w:r w:rsidR="000409A6">
        <w:rPr>
          <w:rFonts w:cs="Times New Roman"/>
          <w:szCs w:val="24"/>
        </w:rPr>
        <w:t>jednatel</w:t>
      </w:r>
    </w:p>
    <w:p w14:paraId="16A1B8C9" w14:textId="77777777" w:rsidR="00960CE3" w:rsidRDefault="00960CE3" w:rsidP="00D17EC3">
      <w:pPr>
        <w:rPr>
          <w:rFonts w:cs="Times New Roman"/>
          <w:szCs w:val="24"/>
        </w:rPr>
      </w:pPr>
    </w:p>
    <w:p w14:paraId="553AB00B" w14:textId="77777777" w:rsidR="00960CE3" w:rsidRDefault="00960CE3" w:rsidP="00D17EC3">
      <w:pPr>
        <w:rPr>
          <w:rFonts w:cs="Times New Roman"/>
          <w:szCs w:val="24"/>
        </w:rPr>
      </w:pPr>
    </w:p>
    <w:p w14:paraId="4780693E" w14:textId="263508F0" w:rsidR="00960CE3" w:rsidRDefault="00960CE3" w:rsidP="00D17EC3">
      <w:pPr>
        <w:rPr>
          <w:rFonts w:cs="Times New Roman"/>
          <w:szCs w:val="24"/>
        </w:rPr>
      </w:pPr>
      <w:r>
        <w:rPr>
          <w:rFonts w:cs="Times New Roman"/>
          <w:szCs w:val="24"/>
        </w:rPr>
        <w:t>Příloha:</w:t>
      </w:r>
    </w:p>
    <w:p w14:paraId="5BA4ADF0" w14:textId="2DE02F8C" w:rsidR="00960CE3" w:rsidRDefault="00960CE3" w:rsidP="00D17EC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změnové listy č. </w:t>
      </w:r>
      <w:r w:rsidRPr="00880E03">
        <w:rPr>
          <w:rFonts w:cs="Times New Roman"/>
          <w:szCs w:val="24"/>
        </w:rPr>
        <w:t>13, 14, 15, 16, 17, 18, 19, 20, 21, 22, 23, 24, 25, 26, 27, 28, 29 a 30</w:t>
      </w:r>
    </w:p>
    <w:p w14:paraId="3CA42097" w14:textId="77777777" w:rsidR="00960CE3" w:rsidRDefault="00960CE3" w:rsidP="00D17EC3">
      <w:pPr>
        <w:rPr>
          <w:rFonts w:cs="Times New Roman"/>
          <w:szCs w:val="24"/>
        </w:rPr>
      </w:pPr>
    </w:p>
    <w:p w14:paraId="7F831D8A" w14:textId="77777777" w:rsidR="00960CE3" w:rsidRPr="00192ED9" w:rsidRDefault="00960CE3" w:rsidP="00D17EC3">
      <w:pPr>
        <w:rPr>
          <w:rFonts w:cs="Times New Roman"/>
          <w:szCs w:val="24"/>
        </w:rPr>
      </w:pPr>
    </w:p>
    <w:sectPr w:rsidR="00960CE3" w:rsidRPr="00192ED9" w:rsidSect="0083676C">
      <w:footerReference w:type="default" r:id="rId8"/>
      <w:pgSz w:w="11906" w:h="16838"/>
      <w:pgMar w:top="1843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C2FDC" w14:textId="77777777" w:rsidR="00675807" w:rsidRDefault="00675807" w:rsidP="00B50180">
      <w:r>
        <w:separator/>
      </w:r>
    </w:p>
  </w:endnote>
  <w:endnote w:type="continuationSeparator" w:id="0">
    <w:p w14:paraId="72D008FC" w14:textId="77777777" w:rsidR="00675807" w:rsidRDefault="00675807" w:rsidP="00B5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3925646"/>
      <w:docPartObj>
        <w:docPartGallery w:val="Page Numbers (Bottom of Page)"/>
        <w:docPartUnique/>
      </w:docPartObj>
    </w:sdtPr>
    <w:sdtEndPr/>
    <w:sdtContent>
      <w:p w14:paraId="172ED503" w14:textId="189B88EC" w:rsidR="00B50180" w:rsidRDefault="00B501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6D9">
          <w:rPr>
            <w:noProof/>
          </w:rPr>
          <w:t>1</w:t>
        </w:r>
        <w:r>
          <w:fldChar w:fldCharType="end"/>
        </w:r>
      </w:p>
    </w:sdtContent>
  </w:sdt>
  <w:p w14:paraId="14FD5FDC" w14:textId="77777777" w:rsidR="00B50180" w:rsidRDefault="00B501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FBE56" w14:textId="77777777" w:rsidR="00675807" w:rsidRDefault="00675807" w:rsidP="00B50180">
      <w:r>
        <w:separator/>
      </w:r>
    </w:p>
  </w:footnote>
  <w:footnote w:type="continuationSeparator" w:id="0">
    <w:p w14:paraId="6D8B3D49" w14:textId="77777777" w:rsidR="00675807" w:rsidRDefault="00675807" w:rsidP="00B5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243"/>
    <w:multiLevelType w:val="hybridMultilevel"/>
    <w:tmpl w:val="A08A3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65CF3"/>
    <w:multiLevelType w:val="hybridMultilevel"/>
    <w:tmpl w:val="958C8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0462"/>
    <w:multiLevelType w:val="hybridMultilevel"/>
    <w:tmpl w:val="9E72238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C64ED"/>
    <w:multiLevelType w:val="hybridMultilevel"/>
    <w:tmpl w:val="D102C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52004"/>
    <w:multiLevelType w:val="hybridMultilevel"/>
    <w:tmpl w:val="B902F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83827"/>
    <w:multiLevelType w:val="hybridMultilevel"/>
    <w:tmpl w:val="E1C283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4230D4"/>
    <w:multiLevelType w:val="hybridMultilevel"/>
    <w:tmpl w:val="9076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A5979"/>
    <w:multiLevelType w:val="hybridMultilevel"/>
    <w:tmpl w:val="984E630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8D1FD7"/>
    <w:multiLevelType w:val="hybridMultilevel"/>
    <w:tmpl w:val="07221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F666C"/>
    <w:multiLevelType w:val="hybridMultilevel"/>
    <w:tmpl w:val="2B302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B2BE0"/>
    <w:multiLevelType w:val="hybridMultilevel"/>
    <w:tmpl w:val="B2CE28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ED4127"/>
    <w:multiLevelType w:val="hybridMultilevel"/>
    <w:tmpl w:val="60701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8416F"/>
    <w:multiLevelType w:val="hybridMultilevel"/>
    <w:tmpl w:val="D102C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D3824"/>
    <w:multiLevelType w:val="hybridMultilevel"/>
    <w:tmpl w:val="1D64C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92EB2"/>
    <w:multiLevelType w:val="hybridMultilevel"/>
    <w:tmpl w:val="56B4C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260CF"/>
    <w:multiLevelType w:val="hybridMultilevel"/>
    <w:tmpl w:val="6884188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8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9"/>
  </w:num>
  <w:num w:numId="10">
    <w:abstractNumId w:val="2"/>
  </w:num>
  <w:num w:numId="11">
    <w:abstractNumId w:val="15"/>
  </w:num>
  <w:num w:numId="12">
    <w:abstractNumId w:val="5"/>
  </w:num>
  <w:num w:numId="13">
    <w:abstractNumId w:val="7"/>
  </w:num>
  <w:num w:numId="14">
    <w:abstractNumId w:val="1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49"/>
    <w:rsid w:val="00034363"/>
    <w:rsid w:val="000409A6"/>
    <w:rsid w:val="0007503F"/>
    <w:rsid w:val="000A1A42"/>
    <w:rsid w:val="000E2B55"/>
    <w:rsid w:val="001019B0"/>
    <w:rsid w:val="00164923"/>
    <w:rsid w:val="00192ED9"/>
    <w:rsid w:val="001A327E"/>
    <w:rsid w:val="001A623F"/>
    <w:rsid w:val="001D65A4"/>
    <w:rsid w:val="001F210C"/>
    <w:rsid w:val="001F2C14"/>
    <w:rsid w:val="00213236"/>
    <w:rsid w:val="002249D8"/>
    <w:rsid w:val="00242FBC"/>
    <w:rsid w:val="00276A35"/>
    <w:rsid w:val="002936D1"/>
    <w:rsid w:val="002B4D9E"/>
    <w:rsid w:val="002B72B5"/>
    <w:rsid w:val="002C4100"/>
    <w:rsid w:val="002F0695"/>
    <w:rsid w:val="00351F70"/>
    <w:rsid w:val="00374B79"/>
    <w:rsid w:val="003C2188"/>
    <w:rsid w:val="003C4765"/>
    <w:rsid w:val="004056FC"/>
    <w:rsid w:val="00421E2F"/>
    <w:rsid w:val="004237E2"/>
    <w:rsid w:val="00452DD3"/>
    <w:rsid w:val="004A2EE1"/>
    <w:rsid w:val="004B2F56"/>
    <w:rsid w:val="004B67B9"/>
    <w:rsid w:val="004C6851"/>
    <w:rsid w:val="004E1F9E"/>
    <w:rsid w:val="004F2FE0"/>
    <w:rsid w:val="00504C54"/>
    <w:rsid w:val="00527832"/>
    <w:rsid w:val="005600D8"/>
    <w:rsid w:val="00596D34"/>
    <w:rsid w:val="005B4EBF"/>
    <w:rsid w:val="005D03BC"/>
    <w:rsid w:val="005D1EF8"/>
    <w:rsid w:val="005E40DA"/>
    <w:rsid w:val="006457DD"/>
    <w:rsid w:val="006516D9"/>
    <w:rsid w:val="00654F33"/>
    <w:rsid w:val="006713C8"/>
    <w:rsid w:val="00675807"/>
    <w:rsid w:val="0068650C"/>
    <w:rsid w:val="006A04B0"/>
    <w:rsid w:val="006A0C6A"/>
    <w:rsid w:val="006A7D31"/>
    <w:rsid w:val="006D5D3F"/>
    <w:rsid w:val="0074162E"/>
    <w:rsid w:val="0075786E"/>
    <w:rsid w:val="007D6CDE"/>
    <w:rsid w:val="007E5B35"/>
    <w:rsid w:val="00820566"/>
    <w:rsid w:val="0083676C"/>
    <w:rsid w:val="00880E03"/>
    <w:rsid w:val="008B5173"/>
    <w:rsid w:val="008E6636"/>
    <w:rsid w:val="008E6B87"/>
    <w:rsid w:val="008F5B23"/>
    <w:rsid w:val="009035EB"/>
    <w:rsid w:val="00926D93"/>
    <w:rsid w:val="00936AAA"/>
    <w:rsid w:val="00960CE3"/>
    <w:rsid w:val="009863CD"/>
    <w:rsid w:val="00995BA3"/>
    <w:rsid w:val="009A3355"/>
    <w:rsid w:val="009D7730"/>
    <w:rsid w:val="00A12681"/>
    <w:rsid w:val="00A42151"/>
    <w:rsid w:val="00A566C4"/>
    <w:rsid w:val="00A8028C"/>
    <w:rsid w:val="00A85FA7"/>
    <w:rsid w:val="00AA22B5"/>
    <w:rsid w:val="00AE70B5"/>
    <w:rsid w:val="00AF19B2"/>
    <w:rsid w:val="00AF4A31"/>
    <w:rsid w:val="00AF6763"/>
    <w:rsid w:val="00B05B67"/>
    <w:rsid w:val="00B50180"/>
    <w:rsid w:val="00B544AC"/>
    <w:rsid w:val="00B77879"/>
    <w:rsid w:val="00B84CFD"/>
    <w:rsid w:val="00BE25B4"/>
    <w:rsid w:val="00C02CCD"/>
    <w:rsid w:val="00C0472F"/>
    <w:rsid w:val="00C04F4A"/>
    <w:rsid w:val="00C12D61"/>
    <w:rsid w:val="00C136E3"/>
    <w:rsid w:val="00C2181E"/>
    <w:rsid w:val="00C842EB"/>
    <w:rsid w:val="00CE4A7E"/>
    <w:rsid w:val="00CE7387"/>
    <w:rsid w:val="00CF486E"/>
    <w:rsid w:val="00CF6C1D"/>
    <w:rsid w:val="00D02DC6"/>
    <w:rsid w:val="00D050F1"/>
    <w:rsid w:val="00D16043"/>
    <w:rsid w:val="00D168C4"/>
    <w:rsid w:val="00D17EC3"/>
    <w:rsid w:val="00D232D5"/>
    <w:rsid w:val="00D46AC6"/>
    <w:rsid w:val="00D76682"/>
    <w:rsid w:val="00DA01BE"/>
    <w:rsid w:val="00DD5749"/>
    <w:rsid w:val="00E4099F"/>
    <w:rsid w:val="00E45927"/>
    <w:rsid w:val="00E56DAB"/>
    <w:rsid w:val="00E77BE1"/>
    <w:rsid w:val="00ED2132"/>
    <w:rsid w:val="00ED5E6A"/>
    <w:rsid w:val="00EE5763"/>
    <w:rsid w:val="00EE6503"/>
    <w:rsid w:val="00EF662E"/>
    <w:rsid w:val="00F33601"/>
    <w:rsid w:val="00F70FC8"/>
    <w:rsid w:val="00F729FC"/>
    <w:rsid w:val="00F81416"/>
    <w:rsid w:val="00FB083A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2531"/>
  <w15:docId w15:val="{E434E36C-2419-49B5-AE85-FB729853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B23"/>
    <w:pPr>
      <w:spacing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Standard"/>
    <w:next w:val="Standard"/>
    <w:link w:val="Nadpis1Char"/>
    <w:qFormat/>
    <w:rsid w:val="00192ED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67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F0695"/>
  </w:style>
  <w:style w:type="character" w:styleId="Siln">
    <w:name w:val="Strong"/>
    <w:basedOn w:val="Standardnpsmoodstavce"/>
    <w:uiPriority w:val="22"/>
    <w:qFormat/>
    <w:rsid w:val="002F0695"/>
    <w:rPr>
      <w:b/>
      <w:bCs/>
    </w:rPr>
  </w:style>
  <w:style w:type="paragraph" w:styleId="Odstavecseseznamem">
    <w:name w:val="List Paragraph"/>
    <w:basedOn w:val="Normln"/>
    <w:uiPriority w:val="34"/>
    <w:qFormat/>
    <w:rsid w:val="00D16043"/>
    <w:pPr>
      <w:ind w:left="720"/>
      <w:contextualSpacing/>
    </w:pPr>
  </w:style>
  <w:style w:type="table" w:styleId="Mkatabulky">
    <w:name w:val="Table Grid"/>
    <w:basedOn w:val="Normlntabulka"/>
    <w:uiPriority w:val="59"/>
    <w:rsid w:val="0059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B544AC"/>
  </w:style>
  <w:style w:type="character" w:styleId="Hypertextovodkaz">
    <w:name w:val="Hyperlink"/>
    <w:basedOn w:val="Standardnpsmoodstavce"/>
    <w:uiPriority w:val="99"/>
    <w:semiHidden/>
    <w:unhideWhenUsed/>
    <w:rsid w:val="0007503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E70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70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70B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0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70B5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0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0B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192ED9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192ED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67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5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0180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5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018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2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951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83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719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5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92883-0376-4A07-81DF-0F1699A9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BUDIN</dc:creator>
  <cp:lastModifiedBy>Krejčí Veronika (ÚMČ Kbely)</cp:lastModifiedBy>
  <cp:revision>4</cp:revision>
  <cp:lastPrinted>2021-10-15T07:58:00Z</cp:lastPrinted>
  <dcterms:created xsi:type="dcterms:W3CDTF">2021-10-15T08:52:00Z</dcterms:created>
  <dcterms:modified xsi:type="dcterms:W3CDTF">2021-11-01T08:41:00Z</dcterms:modified>
</cp:coreProperties>
</file>