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 O D A T E K č . 12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ke kupní smlouvě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Asfaltová směs určená pro strojní zpracování, Část X - cestmistrovství</w:t>
        <w:br/>
        <w:t>Třebíč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uzavřené dne 24. 6. 2010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  <w:tab w:pos="3939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Komerční banka,</w:t>
        <w:tab/>
        <w:t>a.s., číslo účtu: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000 90 450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CZ00090450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Zřizovatel:</w:t>
        <w:tab/>
        <w:t>Kraj Vysočina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(na straně jedné, jako kupující)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Asfalt s.r.o.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 Na Švadlačkách 478, Soběslav II, 392 01 Soběslav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Petrem Zachem, jednatelem společnosti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Karlem Helmou, jednatelem společnosti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  <w:tab/>
        <w:t>Raiffeisenbank a.s.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</w:t>
        <w:tab/>
        <w:t>251 86 183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6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CZ25186183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je zapsaná v obchodním rejstříku, vedeném Krajským soudem v Českých Budějovicích oddíl C, vložka 8452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(na straně druhé jako prodávající)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číslo kupujícího 168/KSÚSV/TR/10 ze dne 24. 6. 2010, spočívající ve změně ceny plnění v souladu s odst.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11.2.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11. Závěrečná ustanovení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 naplnění podmínek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10. Inflační doložka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smlouvy na základě ročního růstu indexu spotřebitelských cen vyhlášených Českým statistickým úřadem za roky 2011,2012, 2013, 2014, 2015, 2016, 2017, 2018, 2019, 2020 a 2021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Zároveň se smluvní strany dohodly na změně kupní ceny z důvodu vysokého nárůstu nákladů souvisejících s výrobou asfaltových směsí (především vstupní materiál - asfaltové pojivo, kamenivo, energie a PHM) převyšující inflaci vyjádřenou přírůstkem průměrného ročního indexu spotřebitelských cen, především v letech 2020-2021, a které prodávající nemohl ovlivnit.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ve znění platných dodatků se mění o průměrnou míru inflace v roce 2011, tj. + 1,9 %, 2012, tj. +3,3%, 2013, tj. +1,4%, 2014, tj. +0,4%, 2015, tj. +0,3%, 2016, tj. +0,7%, 2017, tj. +2,5%, 2018, tj. +2,1 %; 2019, tj. +2,8 %; 2020, tj. +3,2 %; 2021, tj. +3,8 %; celkem tedy 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+22,4 %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platných cen.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dalšími náklady dochází k navýšení ceny v souladu s § 222 odst. 4 ZZVZ o 8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% z platných cen. Celkové navýšení kupních cen činí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30,5%.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5" w:val="left"/>
        </w:tabs>
        <w:bidi w:val="0"/>
        <w:spacing w:before="0" w:after="38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závazek prodávajícího dodat kupujícímu asfaltové směsi určené k výspravě komunikací Vysočiny na základě průběžných objednávek, a to asfaltové směsi typu ACO 11+, ACP 16+, ACL 16, ACP 22+ o minimálním množství 50 t.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5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za plnění sjednané v odstavci 3.1. Článku 3 Cena za plnění stávající smlouvy se pro srpen roku 2022 nahrazují novými cenami takto:</w:t>
      </w:r>
    </w:p>
    <w:tbl>
      <w:tblPr>
        <w:tblOverlap w:val="never"/>
        <w:jc w:val="center"/>
        <w:tblLayout w:type="fixed"/>
      </w:tblPr>
      <w:tblGrid>
        <w:gridCol w:w="1776"/>
        <w:gridCol w:w="3221"/>
      </w:tblGrid>
      <w:tr>
        <w:trPr>
          <w:trHeight w:val="4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Asfaltová směs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za 1 tunu v Kč bez DPH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ACO 11+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1957,50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ACP 16+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1892,25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ACL 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1892,25</w:t>
            </w:r>
          </w:p>
        </w:tc>
      </w:tr>
      <w:tr>
        <w:trPr>
          <w:trHeight w:val="1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ACP 22+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1892,25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sjednané ceně bez DPH bude účtována daň z přidané hodnoty v zákonné výši; prodávající odpovídá za to, že sazba daně z přidané hodnoty je stanovena k aktuálnímu datu v souladu s platnými právními předpisy.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4.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12 ve znění platných dodatků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5" w:val="left"/>
        </w:tabs>
        <w:bidi w:val="0"/>
        <w:spacing w:before="0" w:after="24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12 je nedílnou součástí smlouvy v aktuálním znění.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12 je vyhotoven v elektronické podobě, přičemž obě smluvní strany obdrží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12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12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 „Plnění předmětu tohoto Dodatku č. 12 před jeho účinností se považuje za plnění dle tohoto Dodatku č. 12 a práva a povinnosti z toho vzniklá se řídí tímto Dodatkem č. 12.“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6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12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1868805" distL="117475" distR="467995" simplePos="0" relativeHeight="125829378" behindDoc="0" locked="0" layoutInCell="1" allowOverlap="1">
                <wp:simplePos x="0" y="0"/>
                <wp:positionH relativeFrom="page">
                  <wp:posOffset>4272915</wp:posOffset>
                </wp:positionH>
                <wp:positionV relativeFrom="paragraph">
                  <wp:posOffset>12700</wp:posOffset>
                </wp:positionV>
                <wp:extent cx="792480" cy="19494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V Jihlav 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6.44999999999999pt;margin-top:1.pt;width:62.399999999999999pt;height:15.35pt;z-index:-125829375;mso-wrap-distance-left:9.25pt;mso-wrap-distance-right:36.850000000000001pt;mso-wrap-distance-bottom:147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 Jihlav 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23215" distB="1539240" distL="114300" distR="721360" simplePos="0" relativeHeight="125829380" behindDoc="0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335915</wp:posOffset>
                </wp:positionV>
                <wp:extent cx="542290" cy="20129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22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Kupující: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6.19999999999999pt;margin-top:26.449999999999999pt;width:42.700000000000003pt;height:15.85pt;z-index:-125829373;mso-wrap-distance-left:9.pt;mso-wrap-distance-top:25.449999999999999pt;mso-wrap-distance-right:56.799999999999997pt;mso-wrap-distance-bottom:12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Kupující: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615440" distB="247015" distL="114300" distR="114300" simplePos="0" relativeHeight="125829382" behindDoc="0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1628140</wp:posOffset>
                </wp:positionV>
                <wp:extent cx="1149350" cy="20129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3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6.19999999999999pt;margin-top:128.19999999999999pt;width:90.5pt;height:15.85pt;z-index:-125829371;mso-wrap-distance-left:9.pt;mso-wrap-distance-top:127.2pt;mso-wrap-distance-right:9.pt;mso-wrap-distance-bottom:19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Ing. Radovan Necid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862455" distB="0" distL="114300" distR="190500" simplePos="0" relativeHeight="125829384" behindDoc="0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1875155</wp:posOffset>
                </wp:positionV>
                <wp:extent cx="1073150" cy="20129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6.19999999999999pt;margin-top:147.65000000000001pt;width:84.5pt;height:15.85pt;z-index:-125829369;mso-wrap-distance-left:9.pt;mso-wrap-distance-top:146.65000000000001pt;mso-wrap-distance-right:1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 Soběslavi dne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4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Prodávající: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Ing. Petr Zach, Ing. Karel Helma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jednatelé společnosti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38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Prověřila: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2046" w:left="1362" w:right="1365" w:bottom="1646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3414395</wp:posOffset>
              </wp:positionH>
              <wp:positionV relativeFrom="page">
                <wp:posOffset>9711055</wp:posOffset>
              </wp:positionV>
              <wp:extent cx="719455" cy="13398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68.85000000000002pt;margin-top:764.64999999999998pt;width:56.649999999999999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9672955</wp:posOffset>
              </wp:positionV>
              <wp:extent cx="580009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00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950000000000003pt;margin-top:761.64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729615</wp:posOffset>
              </wp:positionV>
              <wp:extent cx="5715000" cy="1644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00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0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prodávajícího: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058/04/2010</w:t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Číslo smlouvy kupujícího: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168/KSÚSV/TR/10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0.599999999999994pt;margin-top:57.450000000000003pt;width:450.pt;height:12.94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0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Číslo smlouvy prodávajícího: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058/04/2010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Číslo smlouvy kupujícího: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168/KSÚSV/TR/10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996950</wp:posOffset>
              </wp:positionV>
              <wp:extent cx="586422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642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150000000000006pt;margin-top:78.5pt;width:461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6">
    <w:name w:val="Nadpis #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Jiné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5">
    <w:name w:val="Nadpis #1"/>
    <w:basedOn w:val="Normal"/>
    <w:link w:val="CharStyle6"/>
    <w:pPr>
      <w:widowControl w:val="0"/>
      <w:shd w:val="clear" w:color="auto" w:fill="FFFFFF"/>
      <w:spacing w:after="8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  <w:spacing w:after="16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