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144" w:firstLine="0"/>
        <w:spacing w:before="0" w:after="0" w:line="240" w:lineRule="auto"/>
        <w:jc w:val="left"/>
        <w:rPr>
          <w:b w:val="true"/>
          <w:color w:val="#000000"/>
          <w:sz w:val="31"/>
          <w:lang w:val="cs-CZ"/>
          <w:spacing w:val="70"/>
          <w:w w:val="95"/>
          <w:strike w:val="false"/>
          <w:vertAlign w:val="baseline"/>
          <w:rFonts w:ascii="Times New Roman" w:hAnsi="Times New Roman"/>
        </w:rPr>
      </w:pPr>
      <w:r>
        <w:pict>
          <v:line strokeweight="0.55pt" strokecolor="#000000" from="466.4pt,291.55pt" to="466.4pt,320.4pt" style="position:absolute;mso-position-horizontal-relative:text;mso-position-vertical-relative:text;">
            <v:stroke dashstyle="shortdot"/>
          </v:line>
        </w:pict>
      </w:r>
      <w:r>
        <w:pict>
          <v:line strokeweight="0.35pt" strokecolor="#000000" from="465.7pt,481.8pt" to="465.7pt,502.35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000000"/>
          <w:sz w:val="31"/>
          <w:lang w:val="cs-CZ"/>
          <w:spacing w:val="70"/>
          <w:w w:val="95"/>
          <w:strike w:val="false"/>
          <w:vertAlign w:val="baseline"/>
          <w:rFonts w:ascii="Times New Roman" w:hAnsi="Times New Roman"/>
        </w:rPr>
        <w:t xml:space="preserve">NÁLEZ</w:t>
      </w:r>
    </w:p>
    <w:p>
      <w:pPr>
        <w:ind w:right="0" w:left="72" w:firstLine="0"/>
        <w:spacing w:before="828" w:after="0" w:line="240" w:lineRule="auto"/>
        <w:jc w:val="left"/>
        <w:rPr>
          <w:b w:val="true"/>
          <w:color w:val="#000000"/>
          <w:sz w:val="27"/>
          <w:lang w:val="cs-CZ"/>
          <w:spacing w:val="-4"/>
          <w:w w:val="100"/>
          <w:strike w:val="false"/>
          <w:u w:val="single"/>
          <w:vertAlign w:val="baseline"/>
          <w:rFonts w:ascii="Times New Roman" w:hAnsi="Times New Roman"/>
        </w:rPr>
      </w:pPr>
      <w:r>
        <w:rPr>
          <w:b w:val="true"/>
          <w:color w:val="#000000"/>
          <w:sz w:val="27"/>
          <w:lang w:val="cs-CZ"/>
          <w:spacing w:val="-4"/>
          <w:w w:val="100"/>
          <w:strike w:val="false"/>
          <w:u w:val="single"/>
          <w:vertAlign w:val="baseline"/>
          <w:rFonts w:ascii="Times New Roman" w:hAnsi="Times New Roman"/>
        </w:rPr>
        <w:t xml:space="preserve">Podklady pro posudek: </w:t>
      </w:r>
    </w:p>
    <w:p>
      <w:pPr>
        <w:ind w:right="72" w:left="72" w:firstLine="0"/>
        <w:spacing w:before="324" w:after="0" w:line="240" w:lineRule="auto"/>
        <w:jc w:val="left"/>
        <w:rPr>
          <w:color w:val="#000000"/>
          <w:sz w:val="23"/>
          <w:lang w:val="cs-CZ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-3"/>
          <w:w w:val="100"/>
          <w:strike w:val="false"/>
          <w:vertAlign w:val="baseline"/>
          <w:rFonts w:ascii="Times New Roman" w:hAnsi="Times New Roman"/>
        </w:rPr>
        <w:t xml:space="preserve">Stanovení ceny obvyklé motorového vozidla bylo provedeno na základ</w:t>
      </w:r>
      <w:r>
        <w:rPr>
          <w:color w:val="#000000"/>
          <w:sz w:val="23"/>
          <w:lang w:val="cs-CZ"/>
          <w:spacing w:val="-3"/>
          <w:w w:val="100"/>
          <w:strike w:val="false"/>
          <w:vertAlign w:val="baseline"/>
          <w:rFonts w:ascii="Times New Roman" w:hAnsi="Times New Roman"/>
        </w:rPr>
        <w:t xml:space="preserve">ě předloženého </w:t>
      </w:r>
      <w:r>
        <w:rPr>
          <w:color w:val="#000000"/>
          <w:sz w:val="23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technického průkazu vozidla a prohlídky vozidla v areálu společnosti v Č.Budějovicích.</w:t>
      </w:r>
    </w:p>
    <w:p>
      <w:pPr>
        <w:ind w:right="72" w:left="0" w:firstLine="0"/>
        <w:spacing w:before="540" w:after="0" w:line="240" w:lineRule="auto"/>
        <w:jc w:val="both"/>
        <w:rPr>
          <w:color w:val="#000000"/>
          <w:sz w:val="23"/>
          <w:lang w:val="cs-CZ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Ocen</w:t>
      </w:r>
      <w:r>
        <w:rPr>
          <w:color w:val="#000000"/>
          <w:sz w:val="23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ění bylo provedeno dle zák. č. 563/1991 Sb. a zákona 151 /1997 o oceňování </w:t>
      </w: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majetku v platném znění a metodických pokynů vydaných Ústavem soudního inženýrství v Brně.</w:t>
      </w:r>
    </w:p>
    <w:p>
      <w:pPr>
        <w:ind w:right="0" w:left="0" w:firstLine="0"/>
        <w:spacing w:before="936" w:after="0" w:line="240" w:lineRule="auto"/>
        <w:jc w:val="left"/>
        <w:rPr>
          <w:b w:val="true"/>
          <w:color w:val="#000000"/>
          <w:sz w:val="27"/>
          <w:lang w:val="cs-CZ"/>
          <w:spacing w:val="-2"/>
          <w:w w:val="100"/>
          <w:strike w:val="false"/>
          <w:u w:val="single"/>
          <w:vertAlign w:val="baseline"/>
          <w:rFonts w:ascii="Times New Roman" w:hAnsi="Times New Roman"/>
        </w:rPr>
      </w:pPr>
      <w:r>
        <w:rPr>
          <w:b w:val="true"/>
          <w:color w:val="#000000"/>
          <w:sz w:val="27"/>
          <w:lang w:val="cs-CZ"/>
          <w:spacing w:val="-2"/>
          <w:w w:val="100"/>
          <w:strike w:val="false"/>
          <w:u w:val="single"/>
          <w:vertAlign w:val="baseline"/>
          <w:rFonts w:ascii="Times New Roman" w:hAnsi="Times New Roman"/>
        </w:rPr>
        <w:t xml:space="preserve">Identifikace p</w:t>
      </w:r>
      <w:r>
        <w:rPr>
          <w:b w:val="true"/>
          <w:color w:val="#000000"/>
          <w:sz w:val="27"/>
          <w:lang w:val="cs-CZ"/>
          <w:spacing w:val="-2"/>
          <w:w w:val="100"/>
          <w:strike w:val="false"/>
          <w:u w:val="single"/>
          <w:vertAlign w:val="baseline"/>
          <w:rFonts w:ascii="Times New Roman" w:hAnsi="Times New Roman"/>
        </w:rPr>
        <w:t xml:space="preserve">ředmětů:</w:t>
      </w:r>
      <w:r>
        <w:rPr>
          <w:color w:val="#000000"/>
          <w:sz w:val="6"/>
          <w:lang w:val="cs-CZ"/>
          <w:spacing w:val="-2"/>
          <w:w w:val="100"/>
          <w:strike w:val="false"/>
          <w:u w:val="single"/>
          <w:vertAlign w:val="baseline"/>
          <w:rFonts w:ascii="Times New Roman" w:hAnsi="Times New Roman"/>
        </w:rPr>
        <w:t xml:space="preserve">,</w:t>
      </w:r>
    </w:p>
    <w:p>
      <w:pPr>
        <w:ind w:right="0" w:left="504" w:firstLine="0"/>
        <w:spacing w:before="612" w:after="0" w:line="240" w:lineRule="auto"/>
        <w:jc w:val="left"/>
        <w:rPr>
          <w:b w:val="true"/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pict>
          <v:line strokeweight="0.55pt" strokecolor="#000000" from="466.6pt,12.55pt" to="466.6pt,37.8pt" style="position:absolute;mso-position-horizontal-relative:text;mso-position-vertical-relative:text;">
            <v:stroke dashstyle="shortdot"/>
          </v:line>
        </w:pict>
      </w:r>
      <w:r>
        <w:rPr>
          <w:b w:val="true"/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- automobil cisternový TATRA T 815 CAS 32T</w:t>
      </w:r>
    </w:p>
    <w:p>
      <w:pPr>
        <w:ind w:right="0" w:left="72" w:firstLine="0"/>
        <w:spacing w:before="2196" w:after="0" w:line="211" w:lineRule="auto"/>
        <w:jc w:val="left"/>
        <w:rPr>
          <w:b w:val="true"/>
          <w:color w:val="#000000"/>
          <w:sz w:val="27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7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Ocen</w:t>
      </w:r>
      <w:r>
        <w:rPr>
          <w:b w:val="true"/>
          <w:color w:val="#000000"/>
          <w:sz w:val="27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ění:</w:t>
      </w:r>
    </w:p>
    <w:p>
      <w:pPr>
        <w:ind w:right="144" w:left="72" w:firstLine="0"/>
        <w:spacing w:before="252" w:after="0" w:line="240" w:lineRule="auto"/>
        <w:jc w:val="both"/>
        <w:rPr>
          <w:color w:val="#000000"/>
          <w:sz w:val="23"/>
          <w:lang w:val="cs-CZ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Ocen</w:t>
      </w:r>
      <w:r>
        <w:rPr>
          <w:color w:val="#000000"/>
          <w:sz w:val="23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ění majetku je provedeno stanovením ceny obvyklé ke dni odhadu, stanovením </w:t>
      </w:r>
      <w:r>
        <w:rPr>
          <w:color w:val="#000000"/>
          <w:sz w:val="23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technické hodnoty a tržní ceny. Tato cena vyjadřuje užitnou cenu zařízení ve vztahu </w:t>
      </w:r>
      <w:r>
        <w:rPr>
          <w:color w:val="#000000"/>
          <w:sz w:val="23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k výchozí ceně {pořizovací), při zohlednění provedení celkových oprav, opotřebení, </w:t>
      </w:r>
      <w:r>
        <w:rPr>
          <w:color w:val="#000000"/>
          <w:sz w:val="23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stáří, umístění, případně opravitelnosti a dalšího použití.</w:t>
      </w:r>
    </w:p>
    <w:sectPr>
      <w:pgSz w:w="11918" w:h="16854" w:orient="portrait"/>
      <w:type w:val="nextPage"/>
      <w:textDirection w:val="lrTb"/>
      <w:pgMar w:bottom="4776" w:top="1688" w:right="1722" w:left="1856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