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4AD2" w14:textId="77777777" w:rsidR="008F16B4" w:rsidRPr="008F16B4" w:rsidRDefault="008F16B4" w:rsidP="008F16B4">
      <w:pPr>
        <w:pStyle w:val="Bezmezer"/>
        <w:jc w:val="center"/>
        <w:rPr>
          <w:b/>
          <w:sz w:val="40"/>
          <w:szCs w:val="40"/>
        </w:rPr>
      </w:pPr>
      <w:bookmarkStart w:id="0" w:name="_GoBack"/>
      <w:bookmarkEnd w:id="0"/>
      <w:r w:rsidRPr="008F16B4">
        <w:rPr>
          <w:b/>
          <w:sz w:val="40"/>
          <w:szCs w:val="40"/>
        </w:rPr>
        <w:t>Dodatek č. 1</w:t>
      </w:r>
    </w:p>
    <w:p w14:paraId="6FDD36D3" w14:textId="77777777" w:rsidR="008F16B4" w:rsidRDefault="008F16B4" w:rsidP="008F16B4">
      <w:pPr>
        <w:pStyle w:val="Bezmezer"/>
        <w:jc w:val="center"/>
        <w:rPr>
          <w:b/>
          <w:sz w:val="28"/>
          <w:szCs w:val="28"/>
        </w:rPr>
      </w:pPr>
      <w:r w:rsidRPr="008F16B4">
        <w:rPr>
          <w:b/>
          <w:sz w:val="28"/>
          <w:szCs w:val="28"/>
        </w:rPr>
        <w:t>ke Smlouvě o vedení účetnictví a souvisejících agend</w:t>
      </w:r>
      <w:r>
        <w:rPr>
          <w:b/>
          <w:sz w:val="28"/>
          <w:szCs w:val="28"/>
        </w:rPr>
        <w:t xml:space="preserve"> ze dne 26. 9. 2021</w:t>
      </w:r>
    </w:p>
    <w:p w14:paraId="148D2302" w14:textId="77777777" w:rsidR="008F16B4" w:rsidRPr="008F16B4" w:rsidRDefault="008F16B4" w:rsidP="008F16B4">
      <w:pPr>
        <w:pStyle w:val="Bezmezer"/>
        <w:jc w:val="center"/>
      </w:pPr>
      <w:r w:rsidRPr="008F16B4">
        <w:t>uzavřené ve smyslu § 1746 odst.</w:t>
      </w:r>
      <w:r w:rsidR="004F1236">
        <w:t xml:space="preserve"> </w:t>
      </w:r>
      <w:r w:rsidRPr="008F16B4">
        <w:t>2 zákona č. 89/2012 Sb., občanského zákoníku</w:t>
      </w:r>
    </w:p>
    <w:p w14:paraId="0584BC00" w14:textId="77777777" w:rsidR="008F16B4" w:rsidRDefault="008F16B4" w:rsidP="008F16B4">
      <w:pPr>
        <w:pStyle w:val="Bezmezer"/>
      </w:pPr>
    </w:p>
    <w:p w14:paraId="502D0F49" w14:textId="77777777" w:rsidR="008F16B4" w:rsidRPr="008F16B4" w:rsidRDefault="008F16B4" w:rsidP="000535F8">
      <w:pPr>
        <w:pStyle w:val="Bezmezer"/>
        <w:jc w:val="center"/>
        <w:rPr>
          <w:b/>
        </w:rPr>
      </w:pPr>
      <w:r w:rsidRPr="008F16B4">
        <w:rPr>
          <w:b/>
        </w:rPr>
        <w:t>mezi stranami</w:t>
      </w:r>
    </w:p>
    <w:p w14:paraId="6BB041B4" w14:textId="77777777" w:rsidR="008F16B4" w:rsidRPr="008F16B4" w:rsidRDefault="008F16B4" w:rsidP="008F16B4">
      <w:pPr>
        <w:pStyle w:val="Bezmezer"/>
      </w:pPr>
    </w:p>
    <w:p w14:paraId="63D57C97" w14:textId="77777777" w:rsidR="008F16B4" w:rsidRDefault="008F16B4" w:rsidP="008F16B4">
      <w:pPr>
        <w:pStyle w:val="Bezmezer"/>
      </w:pPr>
    </w:p>
    <w:p w14:paraId="1019A3C5" w14:textId="77777777" w:rsidR="008F16B4" w:rsidRPr="004F1236" w:rsidRDefault="008F16B4" w:rsidP="008F16B4">
      <w:pPr>
        <w:pStyle w:val="Bezmezer"/>
        <w:rPr>
          <w:b/>
          <w:sz w:val="28"/>
          <w:szCs w:val="28"/>
        </w:rPr>
      </w:pPr>
      <w:r w:rsidRPr="004F1236">
        <w:rPr>
          <w:b/>
          <w:sz w:val="28"/>
          <w:szCs w:val="28"/>
        </w:rPr>
        <w:t>Polívka mzdy, s.r.o.</w:t>
      </w:r>
    </w:p>
    <w:p w14:paraId="42AC7A28" w14:textId="77777777" w:rsidR="008F16B4" w:rsidRDefault="008F16B4" w:rsidP="008F16B4">
      <w:pPr>
        <w:pStyle w:val="Bezmezer"/>
      </w:pPr>
      <w:r>
        <w:t>IČO: 09419951</w:t>
      </w:r>
    </w:p>
    <w:p w14:paraId="6DD73635" w14:textId="77777777" w:rsidR="008F16B4" w:rsidRDefault="008F16B4" w:rsidP="008F16B4">
      <w:pPr>
        <w:pStyle w:val="Bezmezer"/>
      </w:pPr>
      <w:r>
        <w:t>sídlo: Pod Nouzovem 1011/14, 197 00 Praha 9</w:t>
      </w:r>
    </w:p>
    <w:p w14:paraId="74477BBF" w14:textId="77777777" w:rsidR="008F16B4" w:rsidRDefault="008F16B4" w:rsidP="008F16B4">
      <w:pPr>
        <w:pStyle w:val="Bezmezer"/>
      </w:pPr>
      <w:r>
        <w:t>zastoupená: Mgr. Milanem Polívkou, jednatelem</w:t>
      </w:r>
    </w:p>
    <w:p w14:paraId="75634F2F" w14:textId="77777777" w:rsidR="008F16B4" w:rsidRDefault="008F16B4" w:rsidP="008F16B4">
      <w:pPr>
        <w:pStyle w:val="Bezmezer"/>
      </w:pPr>
      <w:r>
        <w:t>(dále jen „</w:t>
      </w:r>
      <w:r w:rsidRPr="004F1236">
        <w:rPr>
          <w:b/>
        </w:rPr>
        <w:t>Účetní</w:t>
      </w:r>
      <w:r>
        <w:t>“)</w:t>
      </w:r>
    </w:p>
    <w:p w14:paraId="7DE1C790" w14:textId="77777777" w:rsidR="008F16B4" w:rsidRDefault="008F16B4" w:rsidP="008F16B4">
      <w:pPr>
        <w:pStyle w:val="Bezmezer"/>
      </w:pPr>
    </w:p>
    <w:p w14:paraId="59B1EB81" w14:textId="77777777" w:rsidR="008F16B4" w:rsidRPr="004F1236" w:rsidRDefault="008F16B4" w:rsidP="008F16B4">
      <w:pPr>
        <w:pStyle w:val="Bezmezer"/>
        <w:rPr>
          <w:b/>
          <w:sz w:val="28"/>
          <w:szCs w:val="28"/>
        </w:rPr>
      </w:pPr>
      <w:r w:rsidRPr="004F1236">
        <w:rPr>
          <w:b/>
          <w:sz w:val="28"/>
          <w:szCs w:val="28"/>
        </w:rPr>
        <w:t>a</w:t>
      </w:r>
    </w:p>
    <w:p w14:paraId="19A48803" w14:textId="77777777" w:rsidR="008F16B4" w:rsidRDefault="008F16B4" w:rsidP="008F16B4">
      <w:pPr>
        <w:pStyle w:val="Bezmezer"/>
      </w:pPr>
    </w:p>
    <w:p w14:paraId="58028DE4" w14:textId="77777777" w:rsidR="008F16B4" w:rsidRPr="004F1236" w:rsidRDefault="008F16B4" w:rsidP="008F16B4">
      <w:pPr>
        <w:pStyle w:val="Bezmezer"/>
        <w:rPr>
          <w:b/>
          <w:sz w:val="28"/>
          <w:szCs w:val="28"/>
        </w:rPr>
      </w:pPr>
      <w:r w:rsidRPr="004F1236">
        <w:rPr>
          <w:b/>
          <w:sz w:val="28"/>
          <w:szCs w:val="28"/>
        </w:rPr>
        <w:t>Masarykova základní škola, Praha 9 – Újezd nad Lesy, Polesná 1690</w:t>
      </w:r>
    </w:p>
    <w:p w14:paraId="750A4382" w14:textId="77777777" w:rsidR="008F16B4" w:rsidRDefault="008F16B4" w:rsidP="008F16B4">
      <w:pPr>
        <w:pStyle w:val="Bezmezer"/>
      </w:pPr>
      <w:r>
        <w:t>IČO: 47608579</w:t>
      </w:r>
    </w:p>
    <w:p w14:paraId="25CCD0B5" w14:textId="77777777" w:rsidR="008F16B4" w:rsidRPr="008F16B4" w:rsidRDefault="008F16B4" w:rsidP="008F16B4">
      <w:pPr>
        <w:pStyle w:val="Bezmezer"/>
      </w:pPr>
      <w:r>
        <w:t>sídlo: Polesná 1690, 190 16 Praha 9</w:t>
      </w:r>
    </w:p>
    <w:p w14:paraId="3D6F7A9C" w14:textId="77777777" w:rsidR="008F16B4" w:rsidRDefault="004F1236" w:rsidP="008F16B4">
      <w:pPr>
        <w:pStyle w:val="Bezmezer"/>
      </w:pPr>
      <w:r>
        <w:t>zastoupená: Mgr. Liborem Skalou, ředitelem školy</w:t>
      </w:r>
    </w:p>
    <w:p w14:paraId="78BF77C1" w14:textId="77777777" w:rsidR="004F1236" w:rsidRDefault="004F1236" w:rsidP="008F16B4">
      <w:pPr>
        <w:pStyle w:val="Bezmezer"/>
      </w:pPr>
      <w:r>
        <w:t>(dále jen „</w:t>
      </w:r>
      <w:r w:rsidRPr="004F1236">
        <w:rPr>
          <w:b/>
        </w:rPr>
        <w:t>Klient</w:t>
      </w:r>
      <w:r>
        <w:t>“)</w:t>
      </w:r>
    </w:p>
    <w:p w14:paraId="64621315" w14:textId="77777777" w:rsidR="004F1236" w:rsidRDefault="004F1236" w:rsidP="008F16B4">
      <w:pPr>
        <w:pStyle w:val="Bezmezer"/>
      </w:pPr>
    </w:p>
    <w:p w14:paraId="21830318" w14:textId="77777777" w:rsidR="008F16B4" w:rsidRDefault="00FA06EC" w:rsidP="008F16B4">
      <w:pPr>
        <w:pStyle w:val="Bezmezer"/>
      </w:pPr>
      <w:r>
        <w:t xml:space="preserve">(Účetní a Klient </w:t>
      </w:r>
      <w:r w:rsidR="002E6B26">
        <w:t>dále také společně jen jako „</w:t>
      </w:r>
      <w:r w:rsidR="002E6B26" w:rsidRPr="002E6B26">
        <w:rPr>
          <w:b/>
        </w:rPr>
        <w:t>Smluvní strany</w:t>
      </w:r>
      <w:r w:rsidR="002E6B26">
        <w:t>“)</w:t>
      </w:r>
    </w:p>
    <w:p w14:paraId="3A1A69DD" w14:textId="77777777" w:rsidR="002E6B26" w:rsidRDefault="002E6B26" w:rsidP="008F16B4">
      <w:pPr>
        <w:pStyle w:val="Bezmezer"/>
      </w:pPr>
    </w:p>
    <w:p w14:paraId="225C1B54" w14:textId="77777777" w:rsidR="002E6B26" w:rsidRDefault="002E6B26" w:rsidP="008F16B4">
      <w:pPr>
        <w:pStyle w:val="Bezmezer"/>
      </w:pPr>
    </w:p>
    <w:p w14:paraId="42912967" w14:textId="77777777" w:rsidR="005B484D" w:rsidRDefault="005B484D" w:rsidP="008F16B4">
      <w:pPr>
        <w:pStyle w:val="Bezmezer"/>
      </w:pPr>
    </w:p>
    <w:p w14:paraId="55EE1D9F" w14:textId="77777777" w:rsidR="002E6B26" w:rsidRDefault="005B484D" w:rsidP="005B484D">
      <w:pPr>
        <w:pStyle w:val="Bezmezer"/>
        <w:jc w:val="center"/>
        <w:rPr>
          <w:b/>
        </w:rPr>
      </w:pPr>
      <w:r>
        <w:rPr>
          <w:b/>
        </w:rPr>
        <w:t>I.</w:t>
      </w:r>
      <w:r>
        <w:t xml:space="preserve"> </w:t>
      </w:r>
      <w:r w:rsidR="002E6B26" w:rsidRPr="002E6B26">
        <w:rPr>
          <w:b/>
        </w:rPr>
        <w:t>Předmět dodatku</w:t>
      </w:r>
    </w:p>
    <w:p w14:paraId="2AF3485C" w14:textId="77777777" w:rsidR="005B484D" w:rsidRDefault="005B484D" w:rsidP="008F16B4">
      <w:pPr>
        <w:pStyle w:val="Bezmezer"/>
      </w:pPr>
    </w:p>
    <w:p w14:paraId="522BC4F7" w14:textId="77777777" w:rsidR="005B484D" w:rsidRDefault="005B484D" w:rsidP="008F16B4">
      <w:pPr>
        <w:pStyle w:val="Bezmezer"/>
      </w:pPr>
    </w:p>
    <w:p w14:paraId="743025DF" w14:textId="77777777" w:rsidR="002E6B26" w:rsidRDefault="00FA06EC" w:rsidP="00086FBD">
      <w:pPr>
        <w:pStyle w:val="Bezmezer"/>
        <w:ind w:firstLine="708"/>
        <w:jc w:val="both"/>
      </w:pPr>
      <w:r>
        <w:t>Tímto</w:t>
      </w:r>
      <w:r w:rsidR="00086FBD">
        <w:t xml:space="preserve"> dodatk</w:t>
      </w:r>
      <w:r>
        <w:t>em se smluvní strany dohodly na doplnění článku 3</w:t>
      </w:r>
      <w:r w:rsidR="00086FBD">
        <w:t xml:space="preserve"> </w:t>
      </w:r>
      <w:r w:rsidR="002E6B26">
        <w:t xml:space="preserve">Smlouvy o vedení účetnictví </w:t>
      </w:r>
      <w:r w:rsidR="000535F8">
        <w:t xml:space="preserve">a souvisejících agend </w:t>
      </w:r>
      <w:r w:rsidR="002E6B26">
        <w:t>ze dne 26.</w:t>
      </w:r>
      <w:r w:rsidR="00086FBD">
        <w:t xml:space="preserve"> </w:t>
      </w:r>
      <w:r w:rsidR="002E6B26">
        <w:t>9.</w:t>
      </w:r>
      <w:r w:rsidR="00086FBD">
        <w:t xml:space="preserve"> </w:t>
      </w:r>
      <w:r w:rsidR="002E6B26">
        <w:t xml:space="preserve">2021 </w:t>
      </w:r>
      <w:r w:rsidR="005B484D">
        <w:t>následujícím</w:t>
      </w:r>
      <w:r w:rsidR="002E6B26">
        <w:t xml:space="preserve"> způsobem:</w:t>
      </w:r>
      <w:r w:rsidR="005B484D">
        <w:t xml:space="preserve"> </w:t>
      </w:r>
    </w:p>
    <w:p w14:paraId="7629DCA9" w14:textId="77777777" w:rsidR="00086FBD" w:rsidRDefault="00086FBD" w:rsidP="00086FBD">
      <w:pPr>
        <w:pStyle w:val="Bezmezer"/>
        <w:ind w:firstLine="708"/>
        <w:jc w:val="both"/>
      </w:pPr>
    </w:p>
    <w:p w14:paraId="3F033AF4" w14:textId="77777777" w:rsidR="00086FBD" w:rsidRDefault="00086FBD" w:rsidP="005B484D">
      <w:pPr>
        <w:pStyle w:val="Bezmezer"/>
        <w:numPr>
          <w:ilvl w:val="0"/>
          <w:numId w:val="1"/>
        </w:numPr>
        <w:spacing w:line="360" w:lineRule="auto"/>
        <w:jc w:val="both"/>
      </w:pPr>
      <w:r>
        <w:t>V článku 3 se za odstavec 3.2 doplňuj</w:t>
      </w:r>
      <w:r w:rsidR="005B484D">
        <w:t>í</w:t>
      </w:r>
      <w:r>
        <w:t xml:space="preserve"> nov</w:t>
      </w:r>
      <w:r w:rsidR="005B484D">
        <w:t>é</w:t>
      </w:r>
      <w:r>
        <w:t xml:space="preserve"> odstavc</w:t>
      </w:r>
      <w:r w:rsidR="005B484D">
        <w:t>e</w:t>
      </w:r>
      <w:r>
        <w:t xml:space="preserve"> 3.3</w:t>
      </w:r>
      <w:r w:rsidR="00FA06EC">
        <w:t xml:space="preserve"> a 3.4</w:t>
      </w:r>
      <w:r w:rsidR="005B484D">
        <w:t xml:space="preserve"> takto</w:t>
      </w:r>
      <w:r>
        <w:t>:</w:t>
      </w:r>
    </w:p>
    <w:p w14:paraId="79F96A58" w14:textId="77777777" w:rsidR="00086FBD" w:rsidRDefault="00086FBD" w:rsidP="005B484D">
      <w:pPr>
        <w:pStyle w:val="Bezmezer"/>
        <w:spacing w:line="360" w:lineRule="auto"/>
        <w:ind w:left="1068"/>
        <w:jc w:val="both"/>
      </w:pPr>
    </w:p>
    <w:p w14:paraId="7071ABA6" w14:textId="257D11D6" w:rsidR="00086FBD" w:rsidRDefault="00086FBD" w:rsidP="005B484D">
      <w:pPr>
        <w:spacing w:line="360" w:lineRule="auto"/>
        <w:ind w:left="1416"/>
        <w:jc w:val="both"/>
      </w:pPr>
      <w:r>
        <w:t>3.3</w:t>
      </w:r>
      <w:r>
        <w:tab/>
        <w:t xml:space="preserve">Účetní se zavazuje předávat </w:t>
      </w:r>
      <w:r w:rsidR="000960AB">
        <w:t>účetní data z programu GINIS Express z</w:t>
      </w:r>
      <w:r>
        <w:t xml:space="preserve">a </w:t>
      </w:r>
      <w:r w:rsidR="00705820">
        <w:t xml:space="preserve">1., 2. a 3. </w:t>
      </w:r>
      <w:r>
        <w:t xml:space="preserve">kalendářní čtvrtletí </w:t>
      </w:r>
      <w:r w:rsidR="000960AB">
        <w:t xml:space="preserve">ke kontrole vždy </w:t>
      </w:r>
      <w:r>
        <w:t>do termínu vyžadovaného zřizovatelem a to konkrétně</w:t>
      </w:r>
      <w:r w:rsidR="000960AB">
        <w:t xml:space="preserve"> nejpozději</w:t>
      </w:r>
      <w:r>
        <w:t xml:space="preserve"> do 12 hodin 10. </w:t>
      </w:r>
      <w:r w:rsidR="000960AB">
        <w:t xml:space="preserve">kalendářního </w:t>
      </w:r>
      <w:r>
        <w:t>dne následující</w:t>
      </w:r>
      <w:r w:rsidR="000960AB">
        <w:t>ho měsíce po vykazovaném období</w:t>
      </w:r>
      <w:r>
        <w:t>.</w:t>
      </w:r>
      <w:r w:rsidR="00705820">
        <w:t xml:space="preserve"> </w:t>
      </w:r>
      <w:r w:rsidR="000960AB">
        <w:t xml:space="preserve">Pokud 10. den v měsíci připadá na pátek či sobotu, je nutné předat data dříve. </w:t>
      </w:r>
      <w:r>
        <w:t xml:space="preserve">Výsledky budou předávány obvyklým způsobem a </w:t>
      </w:r>
      <w:r w:rsidR="00FA06EC">
        <w:t xml:space="preserve">to </w:t>
      </w:r>
      <w:r>
        <w:t>v souladu se všemi ustanoveními smlouvy.</w:t>
      </w:r>
      <w:r w:rsidR="00705820">
        <w:t xml:space="preserve"> </w:t>
      </w:r>
      <w:proofErr w:type="gramStart"/>
      <w:r w:rsidR="00705820">
        <w:t>Data</w:t>
      </w:r>
      <w:proofErr w:type="gramEnd"/>
      <w:r w:rsidR="00705820">
        <w:t xml:space="preserve"> roční účetní závěrky předá účetní zřizovateli základní školy nejpozději 2 pracovní dny před termínem, který Magistrát </w:t>
      </w:r>
      <w:proofErr w:type="gramStart"/>
      <w:r w:rsidR="00705820">
        <w:t>hl. m.</w:t>
      </w:r>
      <w:proofErr w:type="gramEnd"/>
      <w:r w:rsidR="00705820">
        <w:t xml:space="preserve"> Prahy stanovil pro odevzdání účetních závěrek organizací zřizovaných městskými částmi.</w:t>
      </w:r>
    </w:p>
    <w:p w14:paraId="53D2FEE8" w14:textId="77777777" w:rsidR="00160C6D" w:rsidRDefault="00160C6D" w:rsidP="005B484D">
      <w:pPr>
        <w:spacing w:after="0" w:line="360" w:lineRule="auto"/>
        <w:ind w:left="1416"/>
        <w:jc w:val="both"/>
        <w:rPr>
          <w:rFonts w:cstheme="minorHAnsi"/>
        </w:rPr>
      </w:pPr>
    </w:p>
    <w:p w14:paraId="6089F102" w14:textId="4A3CB395" w:rsidR="00FA06EC" w:rsidRDefault="00FA06EC" w:rsidP="005B484D">
      <w:pPr>
        <w:spacing w:after="0" w:line="360" w:lineRule="auto"/>
        <w:ind w:left="1416"/>
        <w:jc w:val="both"/>
        <w:rPr>
          <w:rFonts w:cstheme="minorHAnsi"/>
        </w:rPr>
      </w:pPr>
      <w:r w:rsidRPr="00FA06EC">
        <w:rPr>
          <w:rFonts w:cstheme="minorHAnsi"/>
        </w:rPr>
        <w:t>3.4</w:t>
      </w:r>
      <w:r>
        <w:rPr>
          <w:rFonts w:cstheme="minorHAnsi"/>
        </w:rPr>
        <w:tab/>
      </w:r>
      <w:r w:rsidRPr="00FA06EC">
        <w:rPr>
          <w:rFonts w:cstheme="minorHAnsi"/>
        </w:rPr>
        <w:t xml:space="preserve">V případě, že bude </w:t>
      </w:r>
      <w:r>
        <w:rPr>
          <w:rFonts w:cstheme="minorHAnsi"/>
        </w:rPr>
        <w:t>Účetní</w:t>
      </w:r>
      <w:r w:rsidRPr="00FA06EC">
        <w:rPr>
          <w:rFonts w:cstheme="minorHAnsi"/>
        </w:rPr>
        <w:t xml:space="preserve"> v prodlení s</w:t>
      </w:r>
      <w:r>
        <w:rPr>
          <w:rFonts w:cstheme="minorHAnsi"/>
        </w:rPr>
        <w:t> předáním uzávěrky dle bodu 3.3 tohoto dodatku</w:t>
      </w:r>
      <w:r w:rsidRPr="00FA06EC">
        <w:rPr>
          <w:rFonts w:cstheme="minorHAnsi"/>
        </w:rPr>
        <w:t xml:space="preserve">, je </w:t>
      </w:r>
      <w:r w:rsidR="005B484D">
        <w:rPr>
          <w:rFonts w:cstheme="minorHAnsi"/>
        </w:rPr>
        <w:t>Klient</w:t>
      </w:r>
      <w:r w:rsidRPr="00FA06EC">
        <w:rPr>
          <w:rFonts w:cstheme="minorHAnsi"/>
        </w:rPr>
        <w:t xml:space="preserve"> oprávněn účtovat </w:t>
      </w:r>
      <w:r>
        <w:rPr>
          <w:rFonts w:cstheme="minorHAnsi"/>
        </w:rPr>
        <w:t xml:space="preserve">Účetnímu </w:t>
      </w:r>
      <w:r w:rsidRPr="00FA06EC">
        <w:rPr>
          <w:rFonts w:cstheme="minorHAnsi"/>
        </w:rPr>
        <w:t xml:space="preserve">smluvní pokutu ve výši </w:t>
      </w:r>
      <w:r w:rsidR="00A8211E">
        <w:rPr>
          <w:rFonts w:cstheme="minorHAnsi"/>
        </w:rPr>
        <w:t xml:space="preserve">2.000 Kč (dva </w:t>
      </w:r>
      <w:r w:rsidR="00A8211E">
        <w:rPr>
          <w:rFonts w:cstheme="minorHAnsi"/>
        </w:rPr>
        <w:lastRenderedPageBreak/>
        <w:t>tisíce korun českých)</w:t>
      </w:r>
      <w:r w:rsidRPr="00FA06EC">
        <w:rPr>
          <w:rFonts w:cstheme="minorHAnsi"/>
        </w:rPr>
        <w:t xml:space="preserve"> z</w:t>
      </w:r>
      <w:r>
        <w:rPr>
          <w:rFonts w:cstheme="minorHAnsi"/>
        </w:rPr>
        <w:t>e sjednané měsíční Odměny</w:t>
      </w:r>
      <w:r w:rsidRPr="00FA06EC">
        <w:rPr>
          <w:rFonts w:cstheme="minorHAnsi"/>
        </w:rPr>
        <w:t xml:space="preserve"> za poskytovanou službu bez </w:t>
      </w:r>
      <w:proofErr w:type="gramStart"/>
      <w:r w:rsidRPr="00FA06EC">
        <w:rPr>
          <w:rFonts w:cstheme="minorHAnsi"/>
        </w:rPr>
        <w:t xml:space="preserve">DPH, </w:t>
      </w:r>
      <w:r w:rsidR="005B484D">
        <w:rPr>
          <w:rFonts w:cstheme="minorHAnsi"/>
        </w:rPr>
        <w:t xml:space="preserve"> </w:t>
      </w:r>
      <w:r w:rsidRPr="00FA06EC">
        <w:rPr>
          <w:rFonts w:cstheme="minorHAnsi"/>
        </w:rPr>
        <w:t>a to</w:t>
      </w:r>
      <w:proofErr w:type="gramEnd"/>
      <w:r w:rsidRPr="00FA06EC">
        <w:rPr>
          <w:rFonts w:cstheme="minorHAnsi"/>
        </w:rPr>
        <w:t xml:space="preserve"> za každý den prodlení.</w:t>
      </w:r>
    </w:p>
    <w:p w14:paraId="56AD7D4F" w14:textId="77777777" w:rsidR="00705820" w:rsidRDefault="00705820" w:rsidP="005B484D">
      <w:pPr>
        <w:spacing w:after="0" w:line="360" w:lineRule="auto"/>
        <w:ind w:left="1416"/>
        <w:jc w:val="both"/>
        <w:rPr>
          <w:rFonts w:cstheme="minorHAnsi"/>
        </w:rPr>
      </w:pPr>
    </w:p>
    <w:p w14:paraId="49FD75DA" w14:textId="2A3E7432" w:rsidR="00A8211E" w:rsidRDefault="00A8211E" w:rsidP="00A8211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A8211E">
        <w:rPr>
          <w:rFonts w:cstheme="minorHAnsi"/>
        </w:rPr>
        <w:t>V článku 4 se za odstavec 4.1 doplňuje nový odstavec 4.2 Inflační doložka</w:t>
      </w:r>
      <w:r w:rsidR="00336656">
        <w:rPr>
          <w:rFonts w:cstheme="minorHAnsi"/>
        </w:rPr>
        <w:t xml:space="preserve"> takto:</w:t>
      </w:r>
    </w:p>
    <w:p w14:paraId="3DBDC2E4" w14:textId="77777777" w:rsidR="00336656" w:rsidRDefault="00336656" w:rsidP="00336656">
      <w:pPr>
        <w:pStyle w:val="Odstavecseseznamem"/>
        <w:spacing w:after="0" w:line="360" w:lineRule="auto"/>
        <w:ind w:left="1068"/>
        <w:jc w:val="both"/>
        <w:rPr>
          <w:rFonts w:cstheme="minorHAnsi"/>
        </w:rPr>
      </w:pPr>
    </w:p>
    <w:p w14:paraId="78BBEAD0" w14:textId="79DD413E" w:rsidR="00A8211E" w:rsidRDefault="00A8211E" w:rsidP="00336656">
      <w:pPr>
        <w:spacing w:line="360" w:lineRule="auto"/>
        <w:ind w:left="1416"/>
        <w:jc w:val="both"/>
      </w:pPr>
      <w:r>
        <w:rPr>
          <w:rFonts w:cstheme="minorHAnsi"/>
        </w:rPr>
        <w:t xml:space="preserve">4.2. </w:t>
      </w:r>
      <w:r>
        <w:t>Účetní je oprávněn zvýšit cenu za poskytnuté služby odběrateli písemným</w:t>
      </w:r>
      <w:r w:rsidR="00336656">
        <w:t xml:space="preserve"> </w:t>
      </w:r>
      <w:r>
        <w:t>oznámením doručeným klientovi v závislosti na míře inflace vyjádřené přírůstkem průměrného ročního indexu spotřebitelských cen publikovaného Českým statistickým úřadem za kalendářní rok, a to o 100 % míry inflace. Takto stanovená cena bude zaokrouhlena matematicky na celé koruny. Ke z</w:t>
      </w:r>
      <w:r w:rsidR="00336656">
        <w:t>měně</w:t>
      </w:r>
      <w:r>
        <w:t xml:space="preserve"> ceny dochází od měsíce následujícího po zveřejnění roční míry inflace Českým statistickým úřadem</w:t>
      </w:r>
      <w:r w:rsidR="00336656">
        <w:t>, t</w:t>
      </w:r>
      <w:r>
        <w:t>j. zpravidla k </w:t>
      </w:r>
      <w:proofErr w:type="gramStart"/>
      <w:r>
        <w:t>1.2. (poprvé</w:t>
      </w:r>
      <w:proofErr w:type="gramEnd"/>
      <w:r>
        <w:t xml:space="preserve"> tedy k 1.2.202</w:t>
      </w:r>
      <w:r w:rsidR="00336656">
        <w:t>4</w:t>
      </w:r>
      <w:r>
        <w:t>)</w:t>
      </w:r>
      <w:r w:rsidR="00336656">
        <w:t>.</w:t>
      </w:r>
    </w:p>
    <w:p w14:paraId="6457E214" w14:textId="5C2C3183" w:rsidR="00A8211E" w:rsidRPr="00A8211E" w:rsidRDefault="00A8211E" w:rsidP="00A8211E">
      <w:pPr>
        <w:spacing w:after="0" w:line="360" w:lineRule="auto"/>
        <w:ind w:left="1068"/>
        <w:jc w:val="both"/>
        <w:rPr>
          <w:rFonts w:cstheme="minorHAnsi"/>
        </w:rPr>
      </w:pPr>
    </w:p>
    <w:p w14:paraId="52F481AD" w14:textId="77777777" w:rsidR="00A8211E" w:rsidRDefault="00A8211E" w:rsidP="00A8211E">
      <w:pPr>
        <w:spacing w:after="0" w:line="360" w:lineRule="auto"/>
        <w:ind w:firstLine="708"/>
        <w:jc w:val="both"/>
        <w:rPr>
          <w:rFonts w:cstheme="minorHAnsi"/>
        </w:rPr>
      </w:pPr>
    </w:p>
    <w:p w14:paraId="0E8E2BC6" w14:textId="77777777" w:rsidR="00A8211E" w:rsidRPr="00FA06EC" w:rsidRDefault="00A8211E" w:rsidP="00A8211E">
      <w:pPr>
        <w:spacing w:after="0" w:line="360" w:lineRule="auto"/>
        <w:jc w:val="both"/>
        <w:rPr>
          <w:rFonts w:cstheme="minorHAnsi"/>
        </w:rPr>
      </w:pPr>
    </w:p>
    <w:p w14:paraId="26EFB4B1" w14:textId="77777777" w:rsidR="005B484D" w:rsidRPr="005B484D" w:rsidRDefault="005B484D" w:rsidP="005B484D">
      <w:pPr>
        <w:jc w:val="center"/>
        <w:rPr>
          <w:b/>
        </w:rPr>
      </w:pPr>
      <w:r>
        <w:rPr>
          <w:b/>
        </w:rPr>
        <w:t>II. Závěrečná ustanovení</w:t>
      </w:r>
    </w:p>
    <w:p w14:paraId="54F3B168" w14:textId="77777777" w:rsidR="00086FBD" w:rsidRDefault="005B484D" w:rsidP="005B484D">
      <w:pPr>
        <w:pStyle w:val="Bezmezer"/>
        <w:jc w:val="both"/>
      </w:pPr>
      <w:r>
        <w:tab/>
      </w:r>
    </w:p>
    <w:p w14:paraId="23E9CB15" w14:textId="77777777" w:rsidR="002E6B26" w:rsidRDefault="005B484D" w:rsidP="005B484D">
      <w:pPr>
        <w:pStyle w:val="Bezmezer"/>
        <w:numPr>
          <w:ilvl w:val="0"/>
          <w:numId w:val="5"/>
        </w:numPr>
        <w:spacing w:line="276" w:lineRule="auto"/>
      </w:pPr>
      <w:r>
        <w:t>Ostatní ustanovení smlouvy zůstávají beze změn.</w:t>
      </w:r>
    </w:p>
    <w:p w14:paraId="5B20B879" w14:textId="77777777" w:rsidR="005B484D" w:rsidRDefault="005B484D" w:rsidP="005B484D">
      <w:pPr>
        <w:pStyle w:val="Bezmezer"/>
        <w:spacing w:line="276" w:lineRule="auto"/>
        <w:ind w:left="1065"/>
      </w:pPr>
    </w:p>
    <w:p w14:paraId="1151DD9D" w14:textId="77777777" w:rsidR="005B484D" w:rsidRDefault="005B484D" w:rsidP="00160C6D">
      <w:pPr>
        <w:pStyle w:val="Bezmezer"/>
        <w:numPr>
          <w:ilvl w:val="0"/>
          <w:numId w:val="5"/>
        </w:numPr>
        <w:spacing w:line="276" w:lineRule="auto"/>
        <w:jc w:val="both"/>
      </w:pPr>
      <w:r>
        <w:t>Tento dodatek Smlouvy o vedení účetnictví</w:t>
      </w:r>
      <w:r w:rsidR="00160C6D">
        <w:t xml:space="preserve"> a souvisejících agend</w:t>
      </w:r>
      <w:r>
        <w:t xml:space="preserve"> je účinný ode dne podpisu oběma smluvními stranami.</w:t>
      </w:r>
    </w:p>
    <w:p w14:paraId="0CAF99D8" w14:textId="77777777" w:rsidR="005B484D" w:rsidRDefault="005B484D" w:rsidP="005B484D">
      <w:pPr>
        <w:pStyle w:val="Bezmezer"/>
        <w:spacing w:line="276" w:lineRule="auto"/>
        <w:ind w:left="1065"/>
      </w:pPr>
    </w:p>
    <w:p w14:paraId="47ADA3B9" w14:textId="77777777" w:rsidR="005B484D" w:rsidRDefault="005B484D" w:rsidP="00160C6D">
      <w:pPr>
        <w:pStyle w:val="Bezmezer"/>
        <w:numPr>
          <w:ilvl w:val="0"/>
          <w:numId w:val="5"/>
        </w:numPr>
        <w:spacing w:line="276" w:lineRule="auto"/>
        <w:jc w:val="both"/>
      </w:pPr>
      <w:r>
        <w:t>Tento dodatek je vyhotoven ve dvou stejnopisech, obě s platností originálu, přičemž každá smluvní strana obdrží při podpisu po jednom vyhotovení.</w:t>
      </w:r>
    </w:p>
    <w:p w14:paraId="6B6EC925" w14:textId="77777777" w:rsidR="002E6B26" w:rsidRDefault="002E6B26" w:rsidP="005B484D">
      <w:pPr>
        <w:pStyle w:val="Bezmezer"/>
        <w:spacing w:line="276" w:lineRule="auto"/>
      </w:pPr>
    </w:p>
    <w:p w14:paraId="14278196" w14:textId="77777777" w:rsidR="005B484D" w:rsidRDefault="005B484D" w:rsidP="005B484D">
      <w:pPr>
        <w:pStyle w:val="Bezmezer"/>
        <w:spacing w:line="276" w:lineRule="auto"/>
      </w:pPr>
    </w:p>
    <w:p w14:paraId="4AA315C2" w14:textId="77777777" w:rsidR="005B484D" w:rsidRDefault="005B484D" w:rsidP="005B484D">
      <w:pPr>
        <w:pStyle w:val="Bezmezer"/>
        <w:spacing w:line="276" w:lineRule="auto"/>
      </w:pPr>
    </w:p>
    <w:p w14:paraId="6D868B24" w14:textId="77777777" w:rsidR="005B484D" w:rsidRDefault="005B484D" w:rsidP="005B484D">
      <w:pPr>
        <w:pStyle w:val="Bezmezer"/>
        <w:spacing w:line="276" w:lineRule="auto"/>
      </w:pPr>
    </w:p>
    <w:p w14:paraId="5D94D1D9" w14:textId="77777777" w:rsidR="000535F8" w:rsidRDefault="000535F8" w:rsidP="000535F8">
      <w:pPr>
        <w:pStyle w:val="Bezmezer"/>
        <w:spacing w:line="276" w:lineRule="auto"/>
      </w:pPr>
      <w:r>
        <w:t>V ………………………… dne ………………….</w:t>
      </w:r>
      <w:r>
        <w:tab/>
      </w:r>
      <w:r>
        <w:tab/>
      </w:r>
      <w:r>
        <w:tab/>
      </w:r>
      <w:r>
        <w:tab/>
        <w:t>V ………………………… dne ………………….</w:t>
      </w:r>
    </w:p>
    <w:p w14:paraId="31434FB8" w14:textId="77777777" w:rsidR="000535F8" w:rsidRDefault="000535F8" w:rsidP="000535F8">
      <w:pPr>
        <w:pStyle w:val="Bezmezer"/>
        <w:spacing w:line="276" w:lineRule="auto"/>
      </w:pPr>
    </w:p>
    <w:p w14:paraId="7E56102B" w14:textId="77777777" w:rsidR="005B484D" w:rsidRDefault="005B484D" w:rsidP="005B484D">
      <w:pPr>
        <w:pStyle w:val="Bezmezer"/>
        <w:spacing w:line="276" w:lineRule="auto"/>
      </w:pPr>
    </w:p>
    <w:p w14:paraId="46B74904" w14:textId="77777777" w:rsidR="002E6B26" w:rsidRDefault="002E6B26" w:rsidP="005B484D">
      <w:pPr>
        <w:pStyle w:val="Bezmezer"/>
        <w:spacing w:line="276" w:lineRule="auto"/>
      </w:pPr>
    </w:p>
    <w:p w14:paraId="007900FD" w14:textId="77777777" w:rsidR="002E6B26" w:rsidRDefault="002E6B26" w:rsidP="008F16B4">
      <w:pPr>
        <w:pStyle w:val="Bezmezer"/>
      </w:pPr>
    </w:p>
    <w:p w14:paraId="3D2797EB" w14:textId="77777777" w:rsidR="000535F8" w:rsidRPr="008F16B4" w:rsidRDefault="000535F8" w:rsidP="000535F8">
      <w:pPr>
        <w:pStyle w:val="Bezmezer"/>
      </w:pPr>
      <w:r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32FBDA14" w14:textId="77777777" w:rsidR="000535F8" w:rsidRPr="008F16B4" w:rsidRDefault="000535F8" w:rsidP="008F16B4">
      <w:pPr>
        <w:pStyle w:val="Bezmezer"/>
      </w:pPr>
      <w:r>
        <w:t>za Účetního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Klienta</w:t>
      </w:r>
    </w:p>
    <w:sectPr w:rsidR="000535F8" w:rsidRPr="008F16B4" w:rsidSect="00FA06E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4F8C"/>
    <w:multiLevelType w:val="hybridMultilevel"/>
    <w:tmpl w:val="DCE61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295F"/>
    <w:multiLevelType w:val="hybridMultilevel"/>
    <w:tmpl w:val="60421B1A"/>
    <w:lvl w:ilvl="0" w:tplc="A490A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F648D3"/>
    <w:multiLevelType w:val="hybridMultilevel"/>
    <w:tmpl w:val="F4260870"/>
    <w:lvl w:ilvl="0" w:tplc="71C87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B2BE8"/>
    <w:multiLevelType w:val="hybridMultilevel"/>
    <w:tmpl w:val="C6EAB722"/>
    <w:lvl w:ilvl="0" w:tplc="CDF02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C42D48"/>
    <w:multiLevelType w:val="hybridMultilevel"/>
    <w:tmpl w:val="86A6EF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5F072E"/>
    <w:multiLevelType w:val="hybridMultilevel"/>
    <w:tmpl w:val="40962054"/>
    <w:lvl w:ilvl="0" w:tplc="22769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B4"/>
    <w:rsid w:val="000535F8"/>
    <w:rsid w:val="00086FBD"/>
    <w:rsid w:val="000960AB"/>
    <w:rsid w:val="00160C6D"/>
    <w:rsid w:val="002E6B26"/>
    <w:rsid w:val="00336656"/>
    <w:rsid w:val="004F1236"/>
    <w:rsid w:val="005B484D"/>
    <w:rsid w:val="00705820"/>
    <w:rsid w:val="008F16B4"/>
    <w:rsid w:val="00A8211E"/>
    <w:rsid w:val="00BB6A41"/>
    <w:rsid w:val="00D1282A"/>
    <w:rsid w:val="00DE2F9F"/>
    <w:rsid w:val="00F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93F1"/>
  <w15:chartTrackingRefBased/>
  <w15:docId w15:val="{A506BBCC-1784-4B7A-8DC3-D7C7FF1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16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B48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F10E-343F-40A6-A38B-C242CDED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Horčičková</dc:creator>
  <cp:keywords/>
  <dc:description/>
  <cp:lastModifiedBy>Vladimíra Vlčková</cp:lastModifiedBy>
  <cp:revision>2</cp:revision>
  <cp:lastPrinted>2023-04-28T07:14:00Z</cp:lastPrinted>
  <dcterms:created xsi:type="dcterms:W3CDTF">2023-06-06T09:47:00Z</dcterms:created>
  <dcterms:modified xsi:type="dcterms:W3CDTF">2023-06-06T09:47:00Z</dcterms:modified>
</cp:coreProperties>
</file>