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99743" w14:textId="2A29837C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68406A95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</w:t>
      </w:r>
      <w:r w:rsidRPr="00ED4B32">
        <w:rPr>
          <w:rFonts w:cs="Arial"/>
          <w:b/>
        </w:rPr>
        <w:t>/</w:t>
      </w:r>
      <w:r w:rsidR="00D3683D">
        <w:rPr>
          <w:rFonts w:cs="Arial"/>
          <w:b/>
        </w:rPr>
        <w:t>2305</w:t>
      </w:r>
      <w:r w:rsidRPr="00ED4B32">
        <w:rPr>
          <w:rFonts w:cs="Arial"/>
          <w:b/>
        </w:rPr>
        <w:t>/</w:t>
      </w:r>
      <w:r w:rsidR="008A16E6" w:rsidRPr="00ED4B32">
        <w:rPr>
          <w:rFonts w:cs="Arial"/>
          <w:b/>
        </w:rPr>
        <w:t>202</w:t>
      </w:r>
      <w:r w:rsidR="004D3ECF">
        <w:rPr>
          <w:rFonts w:cs="Arial"/>
          <w:b/>
        </w:rPr>
        <w:t>4</w:t>
      </w:r>
      <w:r w:rsidR="00D62653">
        <w:rPr>
          <w:rFonts w:cs="Arial"/>
          <w:b/>
        </w:rPr>
        <w:t>/STR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1962ED3C" w14:textId="77777777" w:rsidR="002321A0" w:rsidRPr="00D62653" w:rsidRDefault="002321A0" w:rsidP="002321A0">
            <w:pPr>
              <w:pStyle w:val="Bezmezer"/>
              <w:spacing w:line="276" w:lineRule="auto"/>
              <w:rPr>
                <w:b/>
              </w:rPr>
            </w:pPr>
            <w:r w:rsidRPr="00D62653">
              <w:rPr>
                <w:b/>
              </w:rPr>
              <w:t>Zlínský kraj</w:t>
            </w:r>
          </w:p>
          <w:p w14:paraId="0333D464" w14:textId="56AAEE44" w:rsidR="002321A0" w:rsidRDefault="002321A0" w:rsidP="002321A0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667BFA4" w14:textId="698284AF" w:rsidR="002321A0" w:rsidRDefault="002321A0" w:rsidP="002321A0">
            <w:pPr>
              <w:pStyle w:val="Bezmezer"/>
              <w:spacing w:line="276" w:lineRule="auto"/>
            </w:pPr>
            <w:r w:rsidRPr="00BC0BE0">
              <w:t>zastupuje:</w:t>
            </w:r>
            <w:r w:rsidR="00D62653">
              <w:t xml:space="preserve"> Ing. Radim Holiš</w:t>
            </w:r>
            <w:r w:rsidRPr="00BC0BE0">
              <w:t>, hejtman</w:t>
            </w:r>
            <w:r>
              <w:t xml:space="preserve"> </w:t>
            </w:r>
          </w:p>
          <w:p w14:paraId="052FE315" w14:textId="4B68DD32" w:rsidR="002321A0" w:rsidRDefault="002321A0" w:rsidP="002321A0">
            <w:pPr>
              <w:pStyle w:val="Bezmezer"/>
              <w:spacing w:line="276" w:lineRule="auto"/>
            </w:pPr>
            <w:r>
              <w:t>IČO: 70891320</w:t>
            </w:r>
          </w:p>
          <w:p w14:paraId="1927416C" w14:textId="711CCFD2" w:rsidR="002321A0" w:rsidRDefault="00D62653" w:rsidP="002321A0">
            <w:pPr>
              <w:pStyle w:val="Bezmezer"/>
              <w:spacing w:line="276" w:lineRule="auto"/>
            </w:pPr>
            <w:r>
              <w:t>bankovní spojení: Česká spořitelna, a. s., č. ú. 1827552/0800</w:t>
            </w:r>
          </w:p>
          <w:p w14:paraId="27616957" w14:textId="120586D5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DBE39D1" w:rsidR="00CB1B5B" w:rsidRDefault="00856014" w:rsidP="00E82920">
      <w:pPr>
        <w:pStyle w:val="Bezmezer"/>
        <w:spacing w:line="276" w:lineRule="auto"/>
      </w:pPr>
      <w:r>
        <w:t>a</w:t>
      </w:r>
    </w:p>
    <w:p w14:paraId="62F008DA" w14:textId="77777777" w:rsidR="00856014" w:rsidRDefault="00856014" w:rsidP="00E82920">
      <w:pPr>
        <w:pStyle w:val="Bezmezer"/>
        <w:spacing w:line="276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41C66971" w14:textId="2B8A84CE" w:rsidR="002321A0" w:rsidRPr="00D62653" w:rsidRDefault="00D62653" w:rsidP="002321A0">
            <w:pPr>
              <w:pStyle w:val="Bezmezer"/>
              <w:spacing w:line="276" w:lineRule="auto"/>
              <w:rPr>
                <w:b/>
                <w:i/>
                <w:color w:val="5B9BD5" w:themeColor="accent1"/>
                <w:sz w:val="16"/>
                <w:szCs w:val="16"/>
              </w:rPr>
            </w:pPr>
            <w:r w:rsidRPr="00D62653">
              <w:rPr>
                <w:b/>
              </w:rPr>
              <w:t>Krajská hospodářská komora Zlínského kraje</w:t>
            </w:r>
          </w:p>
          <w:p w14:paraId="73C7F6CE" w14:textId="4E3CF535" w:rsidR="002321A0" w:rsidRPr="00BC0BE0" w:rsidRDefault="00D62653" w:rsidP="002321A0">
            <w:pPr>
              <w:pStyle w:val="Bezmezer"/>
              <w:spacing w:line="276" w:lineRule="auto"/>
            </w:pPr>
            <w:r>
              <w:t>sídlo</w:t>
            </w:r>
            <w:r w:rsidR="002321A0" w:rsidRPr="00BC0BE0">
              <w:t>:</w:t>
            </w:r>
            <w:r w:rsidR="002321A0">
              <w:t> </w:t>
            </w:r>
            <w:r>
              <w:t>Vavrečkova 5262, 760 01 Zlín</w:t>
            </w:r>
          </w:p>
          <w:p w14:paraId="5954261C" w14:textId="4493A41E" w:rsidR="002321A0" w:rsidRPr="0077026D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 w:rsidR="00D62653">
              <w:t> právnická osoba-komora</w:t>
            </w:r>
          </w:p>
          <w:p w14:paraId="0C46E1F5" w14:textId="6CC09425" w:rsidR="002321A0" w:rsidRPr="0077026D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>
              <w:t> </w:t>
            </w:r>
            <w:r w:rsidR="00D62653">
              <w:t>29319676</w:t>
            </w:r>
          </w:p>
          <w:p w14:paraId="1657290E" w14:textId="6B23A9ED" w:rsidR="002321A0" w:rsidRPr="00BC0BE0" w:rsidRDefault="00D62653" w:rsidP="002321A0">
            <w:pPr>
              <w:pStyle w:val="Bezmezer"/>
              <w:spacing w:line="276" w:lineRule="auto"/>
            </w:pPr>
            <w:r>
              <w:t>bankovní spojení: Československá obchodní banka, a. s</w:t>
            </w:r>
            <w:r w:rsidR="008A16E6">
              <w:t>.,</w:t>
            </w:r>
            <w:r w:rsidR="008A16E6">
              <w:br/>
            </w:r>
            <w:r>
              <w:t>č. ú. 2446268/0300</w:t>
            </w:r>
          </w:p>
          <w:p w14:paraId="28CEC8A4" w14:textId="2A63E1E1" w:rsidR="002321A0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zapsaný u KS v</w:t>
            </w:r>
            <w:r w:rsidR="00D62653">
              <w:t xml:space="preserve"> Brně</w:t>
            </w:r>
            <w:r w:rsidRPr="00BC0BE0">
              <w:t>, oddíl</w:t>
            </w:r>
            <w:r>
              <w:t> </w:t>
            </w:r>
            <w:r w:rsidR="00D62653">
              <w:t>A</w:t>
            </w:r>
            <w:r w:rsidRPr="00BC0BE0">
              <w:t>, vložka</w:t>
            </w:r>
            <w:r>
              <w:t> </w:t>
            </w:r>
            <w:r w:rsidR="00D62653">
              <w:t>2577</w:t>
            </w:r>
            <w:r w:rsidR="00ED4B32">
              <w:t>7</w:t>
            </w:r>
          </w:p>
          <w:p w14:paraId="1FF40B27" w14:textId="60E4E512" w:rsidR="002321A0" w:rsidRPr="00E82920" w:rsidRDefault="00D62653" w:rsidP="002321A0">
            <w:pPr>
              <w:pStyle w:val="Bezmezer"/>
              <w:spacing w:line="276" w:lineRule="auto"/>
            </w:pPr>
            <w:r>
              <w:t>zastoupen: </w:t>
            </w:r>
            <w:r w:rsidR="002D5655">
              <w:t>Renata Brázdilová</w:t>
            </w:r>
            <w:r w:rsidR="00DE6568">
              <w:t xml:space="preserve">, </w:t>
            </w:r>
            <w:r w:rsidR="00C50972">
              <w:t>na základě plné moci</w:t>
            </w:r>
          </w:p>
          <w:p w14:paraId="27F8DE20" w14:textId="1C9B29B4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 w:rsidR="00A33037"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C7203C" w:rsidRDefault="0077026D" w:rsidP="00C7203C">
      <w:pPr>
        <w:pStyle w:val="Nadpis1"/>
      </w:pPr>
      <w:r w:rsidRPr="00C7203C">
        <w:t>Předmět smlouvy</w:t>
      </w:r>
    </w:p>
    <w:p w14:paraId="7F4039BD" w14:textId="3AA80342" w:rsidR="0077026D" w:rsidRDefault="0077026D" w:rsidP="00EA3F99">
      <w:pPr>
        <w:pStyle w:val="2rove"/>
        <w:ind w:left="567"/>
      </w:pPr>
      <w:r w:rsidRPr="0013520D">
        <w:t xml:space="preserve">Poskytovatel se zavazuje poskytnout příjemci </w:t>
      </w:r>
      <w:r w:rsidR="00F475C1">
        <w:rPr>
          <w:b/>
        </w:rPr>
        <w:t>neinvestiční</w:t>
      </w:r>
      <w:r w:rsidR="0017738B" w:rsidRPr="0013520D">
        <w:t xml:space="preserve"> </w:t>
      </w:r>
      <w:r w:rsidRPr="003D6A1A">
        <w:rPr>
          <w:b/>
        </w:rPr>
        <w:t>dotaci</w:t>
      </w:r>
      <w:r w:rsidRPr="0013520D">
        <w:t xml:space="preserve"> 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2321A0">
        <w:t> </w:t>
      </w:r>
      <w:r w:rsidR="00285631">
        <w:t>765</w:t>
      </w:r>
      <w:r w:rsidR="00F475C1">
        <w:t>.0</w:t>
      </w:r>
      <w:r w:rsidR="00BB186F">
        <w:t>92</w:t>
      </w:r>
      <w:r w:rsidR="00F475C1">
        <w:t xml:space="preserve"> </w:t>
      </w:r>
      <w:r w:rsidRPr="0013520D">
        <w:t>Kč, (slovy:</w:t>
      </w:r>
      <w:r w:rsidR="002321A0">
        <w:t> </w:t>
      </w:r>
      <w:r w:rsidR="00285631">
        <w:t>sedmsetšedesátpět</w:t>
      </w:r>
      <w:r w:rsidR="00067A3D">
        <w:t>tisíc</w:t>
      </w:r>
      <w:r w:rsidR="00E271D6">
        <w:t>de</w:t>
      </w:r>
      <w:r w:rsidR="00F14EAD">
        <w:t>vadesátdv</w:t>
      </w:r>
      <w:r w:rsidR="00AF5496">
        <w:t>a</w:t>
      </w:r>
      <w:r w:rsidR="00F475C1">
        <w:t>korunčeských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C834D7">
        <w:rPr>
          <w:b/>
        </w:rPr>
        <w:t xml:space="preserve"> </w:t>
      </w:r>
      <w:r w:rsidR="00B06107">
        <w:rPr>
          <w:b/>
        </w:rPr>
        <w:t>68</w:t>
      </w:r>
      <w:r w:rsidRPr="003D6A1A">
        <w:rPr>
          <w:b/>
        </w:rPr>
        <w:t xml:space="preserve"> % celkových způsobilých výdajů</w:t>
      </w:r>
      <w:r w:rsidR="00F475C1">
        <w:t xml:space="preserve"> projektu na realizaci projektu</w:t>
      </w:r>
      <w:r>
        <w:t>:</w:t>
      </w:r>
      <w:r w:rsidR="00F475C1">
        <w:t> </w:t>
      </w:r>
      <w:r w:rsidR="00F65F24">
        <w:t>„</w:t>
      </w:r>
      <w:r w:rsidR="00F65F24" w:rsidRPr="00F65F24">
        <w:rPr>
          <w:b/>
          <w:bCs/>
        </w:rPr>
        <w:t>Aktivity KHK ZK s dopadem na širší veřejnost ZLK</w:t>
      </w:r>
      <w:r w:rsidR="00F65F24">
        <w:t>“</w:t>
      </w:r>
      <w:r w:rsidR="00F475C1">
        <w:t xml:space="preserve"> </w:t>
      </w:r>
      <w:r w:rsidRPr="0013520D">
        <w:t>(dále jen „</w:t>
      </w:r>
      <w:r w:rsidRPr="002563AC">
        <w:rPr>
          <w:b/>
        </w:rPr>
        <w:t>projekt</w:t>
      </w:r>
      <w:r w:rsidRPr="0013520D">
        <w:t>“), evidovaného pod registračním číslem žádosti o</w:t>
      </w:r>
      <w:r w:rsidR="002321A0">
        <w:t> </w:t>
      </w:r>
      <w:r w:rsidRPr="0013520D">
        <w:t>poskytnutí dotace</w:t>
      </w:r>
      <w:r w:rsidR="00F475C1">
        <w:t> IND/202</w:t>
      </w:r>
      <w:r w:rsidR="00C904AF">
        <w:t>4</w:t>
      </w:r>
      <w:r w:rsidR="00F475C1">
        <w:t>/</w:t>
      </w:r>
      <w:r w:rsidR="00FE669F">
        <w:t>0</w:t>
      </w:r>
      <w:r w:rsidR="002F259A">
        <w:t>77</w:t>
      </w:r>
      <w:r w:rsidR="00F475C1">
        <w:t>.</w:t>
      </w:r>
    </w:p>
    <w:p w14:paraId="008B9C8A" w14:textId="5EB6AB8A" w:rsidR="00DB0265" w:rsidRPr="002D44F1" w:rsidRDefault="00DB0265" w:rsidP="00EA3F99">
      <w:pPr>
        <w:pStyle w:val="2rove"/>
        <w:ind w:left="567"/>
      </w:pPr>
      <w:r w:rsidRPr="002D44F1">
        <w:t>Dotace je poskytována na</w:t>
      </w:r>
      <w:r w:rsidR="00F475C1">
        <w:t> </w:t>
      </w:r>
      <w:r w:rsidR="001E55EA">
        <w:t>zajištění akcí</w:t>
      </w:r>
      <w:r w:rsidR="001C58F1">
        <w:t xml:space="preserve"> a aktivit s dopadem na celý Zlínský kraj</w:t>
      </w:r>
      <w:r w:rsidR="00CD6F2A">
        <w:t xml:space="preserve">, a to: KA1 </w:t>
      </w:r>
      <w:r w:rsidR="00B01E0F">
        <w:t>V</w:t>
      </w:r>
      <w:r w:rsidR="00CD6F2A">
        <w:t>eletrh vzdělávání</w:t>
      </w:r>
      <w:r w:rsidR="00A231C0">
        <w:t xml:space="preserve"> Zlín</w:t>
      </w:r>
      <w:r w:rsidR="006235C2">
        <w:t>, KA</w:t>
      </w:r>
      <w:r w:rsidR="00B01E0F">
        <w:t>2 Technické jarmarky, AK3 rozšíření portálu www.monitorzk.cz</w:t>
      </w:r>
      <w:r w:rsidR="00A231C0">
        <w:t>.</w:t>
      </w:r>
    </w:p>
    <w:p w14:paraId="2CC0F47C" w14:textId="41293834" w:rsidR="00DB0265" w:rsidRDefault="00DB0265" w:rsidP="00EA3F99">
      <w:pPr>
        <w:pStyle w:val="2rove"/>
        <w:ind w:left="567"/>
      </w:pPr>
      <w:r w:rsidRPr="00C7203C">
        <w:t>Příjemce</w:t>
      </w:r>
      <w:r w:rsidRPr="0013520D">
        <w:t xml:space="preserve"> se zavazuje zrealizovat projekt tak, jak je popsán v žádosti o poskytnutí dotace.</w:t>
      </w:r>
    </w:p>
    <w:p w14:paraId="614E5E83" w14:textId="77777777" w:rsidR="00E14143" w:rsidRPr="00C7203C" w:rsidRDefault="008E7B6E" w:rsidP="00C7203C">
      <w:pPr>
        <w:pStyle w:val="Nadpis1"/>
      </w:pPr>
      <w:r w:rsidRPr="00C7203C">
        <w:t>Doba realizace</w:t>
      </w:r>
    </w:p>
    <w:p w14:paraId="168CB224" w14:textId="545B2BBB" w:rsidR="008E7B6E" w:rsidRDefault="00F575F2" w:rsidP="00EA3F99">
      <w:pPr>
        <w:pStyle w:val="2rove"/>
        <w:ind w:left="567"/>
      </w:pPr>
      <w:r>
        <w:t>Doba realizace</w:t>
      </w:r>
      <w:r w:rsidR="00FF0072" w:rsidRPr="00FF0072">
        <w:t xml:space="preserve"> </w:t>
      </w:r>
      <w:r w:rsidRPr="00C7203C">
        <w:t>začíná</w:t>
      </w:r>
      <w:r>
        <w:t xml:space="preserve"> dnem</w:t>
      </w:r>
      <w:r w:rsidR="007E297F">
        <w:t xml:space="preserve"> 1. </w:t>
      </w:r>
      <w:r w:rsidR="00EA2F97">
        <w:t>4</w:t>
      </w:r>
      <w:r w:rsidR="007E297F">
        <w:t>. 202</w:t>
      </w:r>
      <w:r w:rsidR="00DA1C29">
        <w:t>4</w:t>
      </w:r>
      <w:r w:rsidR="007E297F">
        <w:t>.</w:t>
      </w:r>
    </w:p>
    <w:p w14:paraId="4BA5A893" w14:textId="75FD52C7" w:rsidR="00D143CD" w:rsidRDefault="00F575F2" w:rsidP="00EA3F99">
      <w:pPr>
        <w:pStyle w:val="2rove"/>
        <w:ind w:left="567"/>
      </w:pPr>
      <w:r>
        <w:t>Doba realizace</w:t>
      </w:r>
      <w:r w:rsidR="008E7B6E">
        <w:t xml:space="preserve"> </w:t>
      </w:r>
      <w:r>
        <w:t>končí dnem</w:t>
      </w:r>
      <w:r w:rsidR="007E297F">
        <w:t> 31. 12. 202</w:t>
      </w:r>
      <w:r w:rsidR="00DA1C29">
        <w:t>4</w:t>
      </w:r>
      <w:r w:rsidR="007E297F">
        <w:t>.</w:t>
      </w:r>
    </w:p>
    <w:p w14:paraId="07DE0DEA" w14:textId="215D19F7" w:rsidR="00444289" w:rsidRDefault="002B4723" w:rsidP="00EA3F99">
      <w:pPr>
        <w:pStyle w:val="2rove"/>
        <w:ind w:left="567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C7203C">
      <w:pPr>
        <w:pStyle w:val="Nadpis1"/>
      </w:pPr>
      <w:r w:rsidRPr="00C7203C">
        <w:t>Monitorovací</w:t>
      </w:r>
      <w:r w:rsidRPr="0013520D">
        <w:t xml:space="preserve"> indikátory</w:t>
      </w:r>
    </w:p>
    <w:p w14:paraId="50F1FF48" w14:textId="7C5B5D8F" w:rsidR="008C4DA9" w:rsidRDefault="008E7B6E" w:rsidP="00EA3F99">
      <w:pPr>
        <w:pStyle w:val="2rove"/>
        <w:ind w:left="567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realizace:</w:t>
      </w:r>
    </w:p>
    <w:p w14:paraId="582134D4" w14:textId="77777777" w:rsidR="008C4DA9" w:rsidRDefault="008C4DA9">
      <w:r>
        <w:br w:type="page"/>
      </w:r>
    </w:p>
    <w:p w14:paraId="5F3B2DDD" w14:textId="77777777" w:rsidR="008E7B6E" w:rsidRDefault="008E7B6E" w:rsidP="008C4DA9">
      <w:pPr>
        <w:pStyle w:val="2rove"/>
        <w:numPr>
          <w:ilvl w:val="0"/>
          <w:numId w:val="0"/>
        </w:numPr>
        <w:ind w:left="567"/>
      </w:pPr>
    </w:p>
    <w:tbl>
      <w:tblPr>
        <w:tblW w:w="4693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5"/>
        <w:gridCol w:w="5469"/>
        <w:gridCol w:w="1426"/>
        <w:gridCol w:w="1136"/>
      </w:tblGrid>
      <w:tr w:rsidR="008E7B6E" w:rsidRPr="001426D2" w14:paraId="6D539567" w14:textId="77777777" w:rsidTr="008C4DA9">
        <w:trPr>
          <w:trHeight w:hRule="exact" w:val="243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EDB4784" w14:textId="77777777" w:rsidR="008E7B6E" w:rsidRPr="001426D2" w:rsidRDefault="00530D1A" w:rsidP="00E82920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Monitorovací indikátory – výstupy projektu</w:t>
            </w:r>
          </w:p>
        </w:tc>
      </w:tr>
      <w:tr w:rsidR="008E7B6E" w:rsidRPr="001426D2" w14:paraId="26E58FCE" w14:textId="77777777" w:rsidTr="0090423F">
        <w:trPr>
          <w:trHeight w:hRule="exact" w:val="680"/>
        </w:trPr>
        <w:tc>
          <w:tcPr>
            <w:tcW w:w="279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7366" w14:textId="77777777" w:rsidR="008E7B6E" w:rsidRPr="001426D2" w:rsidRDefault="008E7B6E" w:rsidP="008C4DA9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poř. číslo</w:t>
            </w:r>
          </w:p>
        </w:tc>
        <w:tc>
          <w:tcPr>
            <w:tcW w:w="3215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2E7F2" w14:textId="77777777" w:rsidR="008E7B6E" w:rsidRPr="001426D2" w:rsidRDefault="008E7B6E" w:rsidP="008C4DA9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90B3A" w14:textId="77777777" w:rsidR="008E7B6E" w:rsidRPr="001426D2" w:rsidRDefault="008E7B6E" w:rsidP="008C4DA9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66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308184" w14:textId="77777777" w:rsidR="008E7B6E" w:rsidRPr="001426D2" w:rsidRDefault="008E7B6E" w:rsidP="008C4DA9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8E7B6E" w:rsidRPr="001426D2" w14:paraId="61D86D70" w14:textId="77777777" w:rsidTr="0090423F">
        <w:trPr>
          <w:trHeight w:hRule="exact" w:val="291"/>
        </w:trPr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FCA8636" w14:textId="0641CE93" w:rsidR="008E7B6E" w:rsidRPr="001426D2" w:rsidRDefault="00C512DA" w:rsidP="00C512DA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</w:t>
            </w:r>
            <w:r w:rsidR="00EC1FBB">
              <w:rPr>
                <w:rFonts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3215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78B9E2F" w14:textId="77135495" w:rsidR="008E7B6E" w:rsidRPr="001426D2" w:rsidRDefault="00B06E1D" w:rsidP="008C4DA9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</w:t>
            </w:r>
            <w:r w:rsidR="00EC1FBB">
              <w:rPr>
                <w:rFonts w:cs="Arial"/>
                <w:snapToGrid w:val="0"/>
                <w:sz w:val="18"/>
                <w:szCs w:val="18"/>
              </w:rPr>
              <w:t xml:space="preserve">A1: </w:t>
            </w:r>
            <w:r>
              <w:rPr>
                <w:rFonts w:cs="Arial"/>
                <w:snapToGrid w:val="0"/>
                <w:sz w:val="18"/>
                <w:szCs w:val="18"/>
              </w:rPr>
              <w:t>Veletrh práce a vzdělávání</w:t>
            </w:r>
          </w:p>
        </w:tc>
        <w:tc>
          <w:tcPr>
            <w:tcW w:w="838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403F60" w14:textId="48B26E02" w:rsidR="008E7B6E" w:rsidRPr="008C4DA9" w:rsidRDefault="00B06E1D" w:rsidP="00C512DA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8C4DA9">
              <w:rPr>
                <w:rFonts w:cs="Arial"/>
                <w:snapToGrid w:val="0"/>
                <w:sz w:val="16"/>
                <w:szCs w:val="16"/>
              </w:rPr>
              <w:t>akce</w:t>
            </w:r>
          </w:p>
        </w:tc>
        <w:tc>
          <w:tcPr>
            <w:tcW w:w="668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65CC1898" w14:textId="135F7EDD" w:rsidR="008E7B6E" w:rsidRPr="001426D2" w:rsidRDefault="00EC1FBB" w:rsidP="00C512DA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</w:tr>
      <w:tr w:rsidR="008E7B6E" w:rsidRPr="001426D2" w14:paraId="17E68272" w14:textId="77777777" w:rsidTr="0090423F">
        <w:trPr>
          <w:trHeight w:hRule="exact" w:val="291"/>
        </w:trPr>
        <w:tc>
          <w:tcPr>
            <w:tcW w:w="279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6EB42F2" w14:textId="0613676E" w:rsidR="008E7B6E" w:rsidRPr="001426D2" w:rsidRDefault="00C512DA" w:rsidP="00C512DA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</w:t>
            </w:r>
            <w:r w:rsidR="00EC1FBB">
              <w:rPr>
                <w:rFonts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3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A740EE9" w14:textId="29D5F5EF" w:rsidR="008E7B6E" w:rsidRPr="001426D2" w:rsidRDefault="00A1365B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</w:t>
            </w:r>
            <w:r w:rsidR="00EC1FBB">
              <w:rPr>
                <w:rFonts w:cs="Arial"/>
                <w:snapToGrid w:val="0"/>
                <w:sz w:val="18"/>
                <w:szCs w:val="18"/>
              </w:rPr>
              <w:t>A</w:t>
            </w:r>
            <w:r>
              <w:rPr>
                <w:rFonts w:cs="Arial"/>
                <w:snapToGrid w:val="0"/>
                <w:sz w:val="18"/>
                <w:szCs w:val="18"/>
              </w:rPr>
              <w:t>2</w:t>
            </w:r>
            <w:r w:rsidR="00EC1FBB">
              <w:rPr>
                <w:rFonts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cs="Arial"/>
                <w:snapToGrid w:val="0"/>
                <w:sz w:val="18"/>
                <w:szCs w:val="18"/>
              </w:rPr>
              <w:t>Technické jarmarky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16CE80B" w14:textId="5748355F" w:rsidR="008E7B6E" w:rsidRPr="008C4DA9" w:rsidRDefault="00EC1FBB" w:rsidP="00C512DA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8C4DA9">
              <w:rPr>
                <w:rFonts w:cs="Arial"/>
                <w:snapToGrid w:val="0"/>
                <w:sz w:val="16"/>
                <w:szCs w:val="16"/>
              </w:rPr>
              <w:t>akce</w:t>
            </w:r>
          </w:p>
        </w:tc>
        <w:tc>
          <w:tcPr>
            <w:tcW w:w="6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2A0EE150" w14:textId="49CFA567" w:rsidR="008E7B6E" w:rsidRPr="001426D2" w:rsidRDefault="00A1365B" w:rsidP="00C512DA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6</w:t>
            </w:r>
          </w:p>
        </w:tc>
      </w:tr>
      <w:tr w:rsidR="008C4DA9" w:rsidRPr="001426D2" w14:paraId="1938ECA2" w14:textId="77777777" w:rsidTr="0090423F">
        <w:trPr>
          <w:trHeight w:hRule="exact" w:val="291"/>
        </w:trPr>
        <w:tc>
          <w:tcPr>
            <w:tcW w:w="279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9ED2859" w14:textId="3EEDA758" w:rsidR="008C4DA9" w:rsidRDefault="008C4DA9" w:rsidP="00C512DA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3.</w:t>
            </w:r>
          </w:p>
        </w:tc>
        <w:tc>
          <w:tcPr>
            <w:tcW w:w="32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A31DE9C" w14:textId="20A70DE0" w:rsidR="008C4DA9" w:rsidRDefault="00A1365B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</w:t>
            </w:r>
            <w:r w:rsidR="008C4DA9">
              <w:rPr>
                <w:rFonts w:cs="Arial"/>
                <w:snapToGrid w:val="0"/>
                <w:sz w:val="18"/>
                <w:szCs w:val="18"/>
              </w:rPr>
              <w:t>A</w:t>
            </w:r>
            <w:r>
              <w:rPr>
                <w:rFonts w:cs="Arial"/>
                <w:snapToGrid w:val="0"/>
                <w:sz w:val="18"/>
                <w:szCs w:val="18"/>
              </w:rPr>
              <w:t>3</w:t>
            </w:r>
            <w:r w:rsidR="008C4DA9">
              <w:rPr>
                <w:rFonts w:cs="Arial"/>
                <w:snapToGrid w:val="0"/>
                <w:sz w:val="18"/>
                <w:szCs w:val="18"/>
              </w:rPr>
              <w:t xml:space="preserve">: </w:t>
            </w:r>
            <w:r w:rsidR="0090423F">
              <w:rPr>
                <w:rFonts w:cs="Arial"/>
                <w:snapToGrid w:val="0"/>
                <w:sz w:val="18"/>
                <w:szCs w:val="18"/>
              </w:rPr>
              <w:t>Rozšíření portálu www.monitorzk.cz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635DF4F" w14:textId="7AFEFE31" w:rsidR="008C4DA9" w:rsidRPr="008C4DA9" w:rsidRDefault="008C4DA9" w:rsidP="00C512DA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>
              <w:rPr>
                <w:rFonts w:cs="Arial"/>
                <w:snapToGrid w:val="0"/>
                <w:sz w:val="16"/>
                <w:szCs w:val="16"/>
              </w:rPr>
              <w:t>d</w:t>
            </w:r>
            <w:r w:rsidRPr="008C4DA9">
              <w:rPr>
                <w:rFonts w:cs="Arial"/>
                <w:snapToGrid w:val="0"/>
                <w:sz w:val="16"/>
                <w:szCs w:val="16"/>
              </w:rPr>
              <w:t>atový monitor</w:t>
            </w:r>
          </w:p>
        </w:tc>
        <w:tc>
          <w:tcPr>
            <w:tcW w:w="6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0BC4D556" w14:textId="3D1D15E7" w:rsidR="008C4DA9" w:rsidRDefault="00B936D3" w:rsidP="00C512DA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3</w:t>
            </w:r>
          </w:p>
        </w:tc>
      </w:tr>
    </w:tbl>
    <w:p w14:paraId="5FC13045" w14:textId="7E5B26EC" w:rsidR="0032745C" w:rsidRDefault="0032745C" w:rsidP="0032745C">
      <w:pPr>
        <w:pStyle w:val="2rove"/>
        <w:ind w:left="567"/>
      </w:pPr>
      <w:r>
        <w:t>V případě nenaplnění kteréhokoliv monitorovacího indikátoru, uvedeného v tabulce v předchozím odstavci, se jedná o podstatné nenaplnění monitorovacího indikátoru.</w:t>
      </w:r>
    </w:p>
    <w:p w14:paraId="115BE40A" w14:textId="0493A416" w:rsidR="00530D1A" w:rsidRDefault="00530D1A" w:rsidP="00C7203C">
      <w:pPr>
        <w:pStyle w:val="Nadpis1"/>
      </w:pPr>
      <w:r w:rsidRPr="00C7203C">
        <w:t>Financování</w:t>
      </w:r>
      <w:r>
        <w:t xml:space="preserve"> projektu</w:t>
      </w:r>
    </w:p>
    <w:p w14:paraId="215C36CB" w14:textId="48F653DE" w:rsidR="00530D1A" w:rsidRPr="00ED4B32" w:rsidRDefault="00530D1A" w:rsidP="008D2BF4">
      <w:pPr>
        <w:pStyle w:val="2rove"/>
        <w:ind w:left="567"/>
      </w:pPr>
      <w:r w:rsidRPr="0013520D">
        <w:t>Dotace bude příjemci poskytnuta na účet uvedený v záhlaví této</w:t>
      </w:r>
      <w:r w:rsidR="00585B3F">
        <w:t xml:space="preserve"> smlouvy následujícím </w:t>
      </w:r>
      <w:r w:rsidR="00585B3F" w:rsidRPr="00ED4B32">
        <w:t>způsobem:</w:t>
      </w:r>
    </w:p>
    <w:p w14:paraId="6B8F58FF" w14:textId="3F20BC80" w:rsidR="00ED4B32" w:rsidRPr="00ED4B32" w:rsidRDefault="00530D1A" w:rsidP="00585B3F">
      <w:pPr>
        <w:pStyle w:val="3rove-kodstrann"/>
        <w:numPr>
          <w:ilvl w:val="4"/>
          <w:numId w:val="20"/>
        </w:numPr>
      </w:pPr>
      <w:r w:rsidRPr="00ED4B32">
        <w:rPr>
          <w:b/>
        </w:rPr>
        <w:t>do 30 pracovních dnů po nabytí účinnosti této smlouvy</w:t>
      </w:r>
      <w:r w:rsidRPr="00ED4B32">
        <w:t xml:space="preserve"> bude vyplacena </w:t>
      </w:r>
      <w:r w:rsidRPr="00ED4B32">
        <w:rPr>
          <w:b/>
        </w:rPr>
        <w:t>první část</w:t>
      </w:r>
      <w:r w:rsidRPr="00ED4B32">
        <w:t xml:space="preserve"> dotace ve výši</w:t>
      </w:r>
      <w:r w:rsidR="00585B3F" w:rsidRPr="00ED4B32">
        <w:t> </w:t>
      </w:r>
      <w:r w:rsidR="005D09F2">
        <w:t>5</w:t>
      </w:r>
      <w:r w:rsidR="0032745C" w:rsidRPr="00ED4B32">
        <w:t>00</w:t>
      </w:r>
      <w:r w:rsidR="00585B3F" w:rsidRPr="00ED4B32">
        <w:t>.</w:t>
      </w:r>
      <w:r w:rsidR="0032745C" w:rsidRPr="00ED4B32">
        <w:t>0</w:t>
      </w:r>
      <w:r w:rsidR="00585B3F" w:rsidRPr="00ED4B32">
        <w:t>00</w:t>
      </w:r>
      <w:r w:rsidRPr="00ED4B32">
        <w:t xml:space="preserve"> Kč (slovy:</w:t>
      </w:r>
      <w:r w:rsidR="00585B3F" w:rsidRPr="00ED4B32">
        <w:t> </w:t>
      </w:r>
      <w:r w:rsidR="005D09F2">
        <w:t>pět</w:t>
      </w:r>
      <w:r w:rsidR="006E606E">
        <w:t>set</w:t>
      </w:r>
      <w:r w:rsidR="00585B3F" w:rsidRPr="00ED4B32">
        <w:t>tisíc</w:t>
      </w:r>
      <w:r w:rsidR="0032745C" w:rsidRPr="00ED4B32">
        <w:t>k</w:t>
      </w:r>
      <w:r w:rsidR="00585B3F" w:rsidRPr="00ED4B32">
        <w:t>orunčeských</w:t>
      </w:r>
      <w:r w:rsidR="00ED4B32" w:rsidRPr="00ED4B32">
        <w:t>),</w:t>
      </w:r>
      <w:r w:rsidRPr="00ED4B32">
        <w:t xml:space="preserve"> </w:t>
      </w:r>
    </w:p>
    <w:p w14:paraId="69AEBD85" w14:textId="318A2A88" w:rsidR="00530D1A" w:rsidRPr="00ED4B32" w:rsidRDefault="00ED4B32" w:rsidP="00585B3F">
      <w:pPr>
        <w:pStyle w:val="3rove-kodstrann"/>
        <w:numPr>
          <w:ilvl w:val="4"/>
          <w:numId w:val="20"/>
        </w:numPr>
      </w:pPr>
      <w:r>
        <w:rPr>
          <w:b/>
        </w:rPr>
        <w:t>z</w:t>
      </w:r>
      <w:r w:rsidR="00530D1A" w:rsidRPr="00ED4B32">
        <w:rPr>
          <w:b/>
        </w:rPr>
        <w:t>byl</w:t>
      </w:r>
      <w:r w:rsidR="00BB7418" w:rsidRPr="00ED4B32">
        <w:rPr>
          <w:b/>
        </w:rPr>
        <w:t>á část</w:t>
      </w:r>
      <w:r w:rsidR="00530D1A" w:rsidRPr="00ED4B32">
        <w:t xml:space="preserve"> z poskytované dotace, tj.</w:t>
      </w:r>
      <w:r w:rsidR="0036448F" w:rsidRPr="00ED4B32">
        <w:t xml:space="preserve"> maximálně </w:t>
      </w:r>
      <w:r w:rsidR="005D09F2">
        <w:t>265</w:t>
      </w:r>
      <w:r w:rsidR="00585B3F" w:rsidRPr="00ED4B32">
        <w:t>.</w:t>
      </w:r>
      <w:r w:rsidR="00BB7418" w:rsidRPr="00ED4B32">
        <w:t>0</w:t>
      </w:r>
      <w:r w:rsidR="007C73DB">
        <w:t>92</w:t>
      </w:r>
      <w:r w:rsidR="00530D1A" w:rsidRPr="00ED4B32">
        <w:t xml:space="preserve"> Kč (slovy:</w:t>
      </w:r>
      <w:r w:rsidR="00585B3F" w:rsidRPr="00ED4B32">
        <w:t> </w:t>
      </w:r>
      <w:r w:rsidR="005D09F2">
        <w:t>dvěstěšedesátpět</w:t>
      </w:r>
      <w:r w:rsidR="00BB7418" w:rsidRPr="00ED4B32">
        <w:t>tisíc</w:t>
      </w:r>
      <w:r w:rsidR="007C73DB">
        <w:t>devadesátd</w:t>
      </w:r>
      <w:r w:rsidR="00CF1BA0">
        <w:t>va</w:t>
      </w:r>
      <w:r w:rsidR="00EC1FBB" w:rsidRPr="00ED4B32">
        <w:t>ko</w:t>
      </w:r>
      <w:r w:rsidR="00585B3F" w:rsidRPr="00ED4B32">
        <w:t>runčeských)</w:t>
      </w:r>
      <w:r w:rsidR="00530D1A" w:rsidRPr="00ED4B32">
        <w:t xml:space="preserve">, bude příjemci vyplaceno </w:t>
      </w:r>
      <w:r w:rsidR="00EC1FBB" w:rsidRPr="00ED4B32">
        <w:rPr>
          <w:b/>
        </w:rPr>
        <w:t>d</w:t>
      </w:r>
      <w:r w:rsidR="00530D1A" w:rsidRPr="00ED4B32">
        <w:rPr>
          <w:b/>
        </w:rPr>
        <w:t>o 20 pracovních dnů po schválení Závěrečné zprávy</w:t>
      </w:r>
      <w:r w:rsidR="00530D1A" w:rsidRPr="00ED4B32">
        <w:t xml:space="preserve"> s vyúčtováním dotace předložené příjemcem dle </w:t>
      </w:r>
      <w:r w:rsidR="00077168" w:rsidRPr="00ED4B32">
        <w:t>čl</w:t>
      </w:r>
      <w:r w:rsidR="00530D1A" w:rsidRPr="00ED4B32">
        <w:t>. 4.</w:t>
      </w:r>
      <w:r w:rsidR="00F575F2" w:rsidRPr="00ED4B32">
        <w:t>4</w:t>
      </w:r>
      <w:r w:rsidR="00530D1A" w:rsidRPr="00ED4B32">
        <w:t xml:space="preserve">. </w:t>
      </w:r>
    </w:p>
    <w:p w14:paraId="555ADB30" w14:textId="03C8E4D8" w:rsidR="00CB78A2" w:rsidRDefault="00CB78A2" w:rsidP="008D2BF4">
      <w:pPr>
        <w:pStyle w:val="2rove"/>
        <w:ind w:left="567"/>
      </w:pPr>
      <w:r w:rsidRPr="003D6A1A">
        <w:rPr>
          <w:b/>
        </w:rPr>
        <w:t>Předpokládané celkové způsobilé výdaje</w:t>
      </w:r>
      <w:r w:rsidRPr="0013520D">
        <w:t xml:space="preserve"> projektu činí</w:t>
      </w:r>
      <w:r w:rsidR="002321A0">
        <w:t> </w:t>
      </w:r>
      <w:r w:rsidR="007C33AF">
        <w:t>1.</w:t>
      </w:r>
      <w:r w:rsidR="00FA2B5F">
        <w:t>125</w:t>
      </w:r>
      <w:r w:rsidR="00352EBD">
        <w:t>.</w:t>
      </w:r>
      <w:r w:rsidR="007C33AF">
        <w:t>0</w:t>
      </w:r>
      <w:r w:rsidR="00FA2B5F">
        <w:t>92</w:t>
      </w:r>
      <w:r w:rsidR="002C00E2">
        <w:t xml:space="preserve"> Kč.</w:t>
      </w:r>
      <w:r w:rsidRPr="0013520D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 xml:space="preserve">. </w:t>
      </w:r>
      <w:r w:rsidRPr="0013520D">
        <w:t>V případě poklesu celkových způsobilých výdajů projektu je příjemce povinen v termínu pro předložení Závěrečné zprávy s vyúčtováním dotace</w:t>
      </w:r>
      <w:r w:rsidR="009514A5">
        <w:t xml:space="preserve"> (dále jen „</w:t>
      </w:r>
      <w:r w:rsidR="009514A5" w:rsidRPr="000B7FE5">
        <w:rPr>
          <w:b/>
        </w:rPr>
        <w:t>závěrečná zpráva</w:t>
      </w:r>
      <w:r w:rsidR="009514A5">
        <w:t>“)</w:t>
      </w:r>
      <w:r w:rsidRPr="0013520D">
        <w:t xml:space="preserve"> vrátit část poskytnutých prostředků, která převyšuje procentní hranici celkových způsobilých výdajů projektu stanovenou v čl. 1.1.</w:t>
      </w:r>
      <w:r w:rsidR="002B71C7">
        <w:rPr>
          <w:i/>
          <w:color w:val="5B9BD5" w:themeColor="accent1"/>
          <w:sz w:val="16"/>
          <w:szCs w:val="16"/>
        </w:rPr>
        <w:t xml:space="preserve"> </w:t>
      </w:r>
    </w:p>
    <w:p w14:paraId="1997B69A" w14:textId="507EB6D6" w:rsidR="00CB78A2" w:rsidRDefault="00CB78A2" w:rsidP="008D2BF4">
      <w:pPr>
        <w:pStyle w:val="2rove"/>
        <w:ind w:left="567"/>
      </w:pPr>
      <w:r w:rsidRPr="00CB78A2">
        <w:t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Příjemce je povinen tuto částku poskytovateli vrátit v</w:t>
      </w:r>
      <w:r w:rsidR="002321A0">
        <w:t> </w:t>
      </w:r>
      <w:r w:rsidRPr="00CB78A2">
        <w:t>termínu</w:t>
      </w:r>
      <w:r w:rsidR="009514A5">
        <w:t xml:space="preserve"> pro předložení Závěrečné zpráv</w:t>
      </w:r>
      <w:r w:rsidR="00E52928">
        <w:t>y</w:t>
      </w:r>
      <w:r w:rsidRPr="00CB78A2">
        <w:t xml:space="preserve">. </w:t>
      </w:r>
    </w:p>
    <w:p w14:paraId="6C44F694" w14:textId="66BCCCF5" w:rsidR="00CB78A2" w:rsidRPr="002F711D" w:rsidRDefault="00CB78A2" w:rsidP="008D2BF4">
      <w:pPr>
        <w:pStyle w:val="2rove"/>
        <w:ind w:left="567"/>
      </w:pPr>
      <w:r w:rsidRPr="00C557DB">
        <w:t xml:space="preserve">Po </w:t>
      </w:r>
      <w:r w:rsidR="0036448F">
        <w:t>u</w:t>
      </w:r>
      <w:r w:rsidRPr="00C557DB">
        <w:t xml:space="preserve">končení </w:t>
      </w:r>
      <w:r w:rsidR="0036448F">
        <w:t xml:space="preserve">doby </w:t>
      </w:r>
      <w:r w:rsidRPr="00C557DB">
        <w:t xml:space="preserve">realizace </w:t>
      </w:r>
      <w:r w:rsidR="0036448F">
        <w:t>dle odst. 2.2</w:t>
      </w:r>
      <w:r w:rsidRPr="00C557DB">
        <w:t xml:space="preserve"> je příjemce povinen předložit Odboru</w:t>
      </w:r>
      <w:r w:rsidR="002B71C7">
        <w:t> strategického rozvoje kraje</w:t>
      </w:r>
      <w:r w:rsidRPr="00C557DB">
        <w:t xml:space="preserve"> Krajského úřadu Zlínského kraje </w:t>
      </w:r>
      <w:r w:rsidR="00CD6632">
        <w:rPr>
          <w:b/>
        </w:rPr>
        <w:t>z</w:t>
      </w:r>
      <w:r w:rsidR="00CD6632" w:rsidRPr="003D6A1A">
        <w:rPr>
          <w:b/>
        </w:rPr>
        <w:t xml:space="preserve">ávěrečnou </w:t>
      </w:r>
      <w:r w:rsidR="002B71C7">
        <w:rPr>
          <w:b/>
        </w:rPr>
        <w:t>zprávu s vyúčtováním dotace</w:t>
      </w:r>
      <w:r w:rsidR="002B71C7" w:rsidRPr="002F711D">
        <w:rPr>
          <w:b/>
        </w:rPr>
        <w:t>, a</w:t>
      </w:r>
      <w:r w:rsidR="008A16E6">
        <w:rPr>
          <w:b/>
        </w:rPr>
        <w:t> </w:t>
      </w:r>
      <w:r w:rsidR="002B71C7" w:rsidRPr="002F711D">
        <w:rPr>
          <w:b/>
        </w:rPr>
        <w:t>to</w:t>
      </w:r>
      <w:r w:rsidR="008A16E6">
        <w:rPr>
          <w:b/>
        </w:rPr>
        <w:t> </w:t>
      </w:r>
      <w:r w:rsidR="002B71C7" w:rsidRPr="002F711D">
        <w:rPr>
          <w:b/>
        </w:rPr>
        <w:t xml:space="preserve">nejpozději do </w:t>
      </w:r>
      <w:r w:rsidR="008E0F4D">
        <w:rPr>
          <w:b/>
        </w:rPr>
        <w:t>31</w:t>
      </w:r>
      <w:r w:rsidR="002B71C7" w:rsidRPr="002F711D">
        <w:rPr>
          <w:b/>
        </w:rPr>
        <w:t xml:space="preserve">. </w:t>
      </w:r>
      <w:r w:rsidR="008E0F4D">
        <w:rPr>
          <w:b/>
        </w:rPr>
        <w:t>3</w:t>
      </w:r>
      <w:r w:rsidR="002B71C7" w:rsidRPr="002F711D">
        <w:rPr>
          <w:b/>
        </w:rPr>
        <w:t>. 202</w:t>
      </w:r>
      <w:r w:rsidR="008E0F4D">
        <w:rPr>
          <w:b/>
        </w:rPr>
        <w:t>5</w:t>
      </w:r>
      <w:r w:rsidRPr="002F711D">
        <w:t>.</w:t>
      </w:r>
    </w:p>
    <w:p w14:paraId="21DE23B6" w14:textId="047378AD" w:rsidR="00A439DD" w:rsidRPr="002F711D" w:rsidRDefault="00A439DD" w:rsidP="008D2BF4">
      <w:pPr>
        <w:pStyle w:val="2rove"/>
        <w:ind w:left="567"/>
      </w:pPr>
      <w:r w:rsidRPr="002F711D">
        <w:t xml:space="preserve">Závěrečnou zprávou se rozumí předložení formuláře s vyplněnou tabulkou s výčtem všech celkových způsobilých výdajů projektu, a předložení </w:t>
      </w:r>
      <w:r w:rsidR="00F575F2" w:rsidRPr="002F711D">
        <w:t xml:space="preserve">všech potřebných </w:t>
      </w:r>
      <w:r w:rsidRPr="002F711D">
        <w:t xml:space="preserve">dokladů </w:t>
      </w:r>
      <w:r w:rsidR="00F575F2" w:rsidRPr="002F711D">
        <w:t xml:space="preserve">uvedených ve </w:t>
      </w:r>
      <w:r w:rsidR="00F575F2" w:rsidRPr="002F711D">
        <w:rPr>
          <w:b/>
        </w:rPr>
        <w:t>formuláři závěrečné zprávy</w:t>
      </w:r>
      <w:r w:rsidRPr="002F711D">
        <w:t xml:space="preserve"> ve výši </w:t>
      </w:r>
      <w:r w:rsidR="00335A34">
        <w:t>celkových způsobilých výdajů projektu</w:t>
      </w:r>
      <w:r w:rsidRPr="002F711D">
        <w:t xml:space="preserve"> a dokladů prokazujících jejich úhradu (tj. výpisy z bankovního účtu, výdajové a příjmové pokladní doklady).</w:t>
      </w:r>
    </w:p>
    <w:p w14:paraId="6DCF458F" w14:textId="78A1EBDC" w:rsidR="00CD2022" w:rsidRPr="002F711D" w:rsidRDefault="00A439DD" w:rsidP="00F158CC">
      <w:pPr>
        <w:pStyle w:val="2rove"/>
        <w:numPr>
          <w:ilvl w:val="0"/>
          <w:numId w:val="0"/>
        </w:numPr>
        <w:ind w:left="567"/>
      </w:pPr>
      <w:r w:rsidRPr="002F711D">
        <w:rPr>
          <w:b/>
        </w:rPr>
        <w:t xml:space="preserve">Formulář </w:t>
      </w:r>
      <w:r w:rsidR="00F575F2" w:rsidRPr="002F711D">
        <w:rPr>
          <w:b/>
        </w:rPr>
        <w:t xml:space="preserve">závěrečné </w:t>
      </w:r>
      <w:r w:rsidRPr="002F711D">
        <w:rPr>
          <w:b/>
        </w:rPr>
        <w:t>zprávy</w:t>
      </w:r>
      <w:r w:rsidRPr="002F711D">
        <w:t xml:space="preserve"> bude příjemci zaslán kontaktní os</w:t>
      </w:r>
      <w:r w:rsidR="000856C7" w:rsidRPr="002F711D">
        <w:t>obou poskytovatele na vyžádání.</w:t>
      </w:r>
    </w:p>
    <w:p w14:paraId="5EB47DE6" w14:textId="10F26939" w:rsidR="005B1088" w:rsidRPr="00ED4B32" w:rsidRDefault="00357941" w:rsidP="008D2BF4">
      <w:pPr>
        <w:pStyle w:val="2rove"/>
        <w:ind w:left="567"/>
      </w:pPr>
      <w:r w:rsidRPr="00774F80">
        <w:t>V případě, že poskytovatel neshledá v předložené Závěrečné zprávě nedostatky či nesrovnalosti, schválí ji do 30 pracovních dnů ode dne jejího předložení.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v této lhůtě</w:t>
      </w:r>
      <w:r w:rsidR="00432A5A">
        <w:t xml:space="preserve"> poskytovatelem</w:t>
      </w:r>
      <w:r w:rsidRPr="00774F80">
        <w:t xml:space="preserve"> vyzván k jejich odstranění, a to </w:t>
      </w:r>
      <w:r w:rsidR="00F13C74">
        <w:t xml:space="preserve">do </w:t>
      </w:r>
      <w:r w:rsidRPr="00774F80">
        <w:t>20 pracovních dnů ode dne doručení výzvy.</w:t>
      </w:r>
      <w:r w:rsidR="00B64E1E">
        <w:t xml:space="preserve"> V případě, že</w:t>
      </w:r>
      <w:r w:rsidR="00F13C74">
        <w:t xml:space="preserve"> příjemce v této lhůtě nedostatky či nesrovnalosti neodstraní, bude opětovně poskytovatelem vyzván </w:t>
      </w:r>
      <w:r w:rsidR="00432A5A">
        <w:t>k jejich odstranění v </w:t>
      </w:r>
      <w:r w:rsidR="00F13C74">
        <w:t xml:space="preserve">náhradní </w:t>
      </w:r>
      <w:r w:rsidR="00F13C74" w:rsidRPr="00ED4B32">
        <w:t xml:space="preserve">lhůtě do 20 pracovních dnů </w:t>
      </w:r>
      <w:r w:rsidR="000B11E0" w:rsidRPr="00ED4B32">
        <w:t>ode</w:t>
      </w:r>
      <w:r w:rsidR="00F13C74" w:rsidRPr="00ED4B32">
        <w:t xml:space="preserve"> dne doručení výzvy </w:t>
      </w:r>
      <w:r w:rsidR="00432A5A" w:rsidRPr="00ED4B32">
        <w:t>příjemci</w:t>
      </w:r>
      <w:r w:rsidR="00F13C74" w:rsidRPr="00ED4B32">
        <w:t xml:space="preserve">. </w:t>
      </w:r>
    </w:p>
    <w:p w14:paraId="3EBB7A09" w14:textId="63997406" w:rsidR="00335A34" w:rsidRDefault="00335A34" w:rsidP="008D2BF4">
      <w:pPr>
        <w:pStyle w:val="2rove"/>
        <w:ind w:left="567"/>
        <w:rPr>
          <w:b/>
        </w:rPr>
      </w:pPr>
      <w:r w:rsidRPr="00ED4B32">
        <w:rPr>
          <w:b/>
        </w:rPr>
        <w:t>V termínu pro předložení Závěrečné zprávy</w:t>
      </w:r>
      <w:r w:rsidRPr="00ED4B32">
        <w:t xml:space="preserve"> </w:t>
      </w:r>
      <w:r w:rsidRPr="00ED4B32">
        <w:rPr>
          <w:b/>
        </w:rPr>
        <w:t>dle čl. 4.4 vrátí příjemce nevyčerpané finanční prostředky na účet poskytovatele.</w:t>
      </w:r>
    </w:p>
    <w:p w14:paraId="4C79BA4A" w14:textId="3F2C728F" w:rsidR="00A97F25" w:rsidRPr="00ED4B32" w:rsidRDefault="00201A4D" w:rsidP="008D2BF4">
      <w:pPr>
        <w:pStyle w:val="2rove"/>
        <w:ind w:left="567"/>
        <w:rPr>
          <w:b/>
        </w:rPr>
      </w:pPr>
      <w:r>
        <w:t xml:space="preserve">V případě, že bude příjemce poskytovateli vracet nevyčerpané finanční prostředky podle kteréhokoli ustanovení této smlouvy, provede platbu bezhotovostním převodem a platbu označí variabilním </w:t>
      </w:r>
      <w:r w:rsidRPr="004563DE">
        <w:t xml:space="preserve">symbolem </w:t>
      </w:r>
      <w:r w:rsidR="00882AD8" w:rsidRPr="00882AD8">
        <w:rPr>
          <w:b/>
          <w:bCs/>
        </w:rPr>
        <w:t>2305</w:t>
      </w:r>
      <w:r w:rsidRPr="00914FBB">
        <w:rPr>
          <w:b/>
          <w:bCs/>
        </w:rPr>
        <w:t>2</w:t>
      </w:r>
      <w:r w:rsidRPr="004563DE">
        <w:rPr>
          <w:b/>
          <w:bCs/>
        </w:rPr>
        <w:t>024</w:t>
      </w:r>
      <w:r>
        <w:rPr>
          <w:b/>
          <w:bCs/>
        </w:rPr>
        <w:t>.</w:t>
      </w:r>
    </w:p>
    <w:p w14:paraId="258D73FC" w14:textId="77777777" w:rsidR="00CB78A2" w:rsidRDefault="00D64AB1" w:rsidP="00C7203C">
      <w:pPr>
        <w:pStyle w:val="Nadpis1"/>
      </w:pPr>
      <w:r>
        <w:lastRenderedPageBreak/>
        <w:t xml:space="preserve">Podmínky </w:t>
      </w:r>
      <w:r w:rsidRPr="00C7203C">
        <w:t>použití</w:t>
      </w:r>
      <w:r>
        <w:t xml:space="preserve"> dotace</w:t>
      </w:r>
    </w:p>
    <w:p w14:paraId="3EA73F26" w14:textId="77777777" w:rsidR="00D64AB1" w:rsidRDefault="00D64AB1" w:rsidP="008D2BF4">
      <w:pPr>
        <w:pStyle w:val="2rove"/>
        <w:ind w:left="567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24C77063" w14:textId="53441836" w:rsidR="00B007CA" w:rsidRDefault="00D64AB1" w:rsidP="008D2BF4">
      <w:pPr>
        <w:pStyle w:val="2rove"/>
        <w:ind w:left="567"/>
      </w:pPr>
      <w:r w:rsidRPr="003D6A1A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="00EA1D72" w:rsidRPr="008E7B6E">
        <w:t xml:space="preserve">Způsobilé výdaje musí příjemci vzniknout v době realizace </w:t>
      </w:r>
      <w:r w:rsidR="00EA1D72">
        <w:t>a</w:t>
      </w:r>
      <w:r w:rsidR="00B007CA">
        <w:t xml:space="preserve"> </w:t>
      </w:r>
      <w:r w:rsidR="00D143CD" w:rsidRPr="00B007CA">
        <w:t>být jím uhrazeny do 3</w:t>
      </w:r>
      <w:r w:rsidR="00482A8A">
        <w:t>0</w:t>
      </w:r>
      <w:r w:rsidR="00D143CD" w:rsidRPr="00B007CA">
        <w:t xml:space="preserve"> dnů po ukončení doby realizace dle čl. 2.2.</w:t>
      </w:r>
      <w:r w:rsidR="00B007CA">
        <w:t xml:space="preserve"> </w:t>
      </w:r>
    </w:p>
    <w:p w14:paraId="56D64BAD" w14:textId="7F778CA3" w:rsidR="00BD6C23" w:rsidRPr="00BD6C23" w:rsidRDefault="00430948" w:rsidP="008D2BF4">
      <w:pPr>
        <w:pStyle w:val="2rove"/>
        <w:ind w:left="567"/>
      </w:pPr>
      <w:r w:rsidRPr="003D6A1A">
        <w:rPr>
          <w:b/>
        </w:rPr>
        <w:t>Nezpůsobilými výdaji</w:t>
      </w:r>
      <w:r>
        <w:t xml:space="preserve"> jsou zejména:</w:t>
      </w:r>
    </w:p>
    <w:p w14:paraId="3943B5B1" w14:textId="328485A4" w:rsidR="00BD6C23" w:rsidRDefault="00BD6C23" w:rsidP="002B5AD7">
      <w:pPr>
        <w:pStyle w:val="3rove-trval"/>
      </w:pPr>
      <w:r>
        <w:t xml:space="preserve">v čase </w:t>
      </w:r>
      <w:r w:rsidR="000316B3">
        <w:t>a místě neobvyklé mzdy a platy,</w:t>
      </w:r>
    </w:p>
    <w:p w14:paraId="759E275B" w14:textId="4FF4F29D" w:rsidR="00BD6C23" w:rsidRDefault="002B5AD7" w:rsidP="0017738B">
      <w:pPr>
        <w:pStyle w:val="3rove-trval"/>
      </w:pPr>
      <w:r>
        <w:t>ostatní osobní výdaje (</w:t>
      </w:r>
      <w:r w:rsidR="00BD6C23" w:rsidRPr="00BB690E">
        <w:t>odměny poskytované podle zvláštních právních předpisů v případech, kdy nevzniká pracovní vztah k zaměstnavateli; odměny za využití vynálezů, průmyslových vzorů, aj.; odměny podle předpisů o autorském právu; odměny z veřejných a užších soutěží a veřejných příslibů; odstupné poskytované při skončení pracovního poměru; odchodné; odměny členům orgánů společnosti a družstva hrazené z nákladů i</w:t>
      </w:r>
      <w:r w:rsidR="002321A0">
        <w:t> </w:t>
      </w:r>
      <w:r w:rsidR="00BD6C23" w:rsidRPr="00BB690E">
        <w:t>ze zisku; částky, které zaměstnavatel refunduje jiným zaměstnavatelům k úhradě plnění zahrnovaných do OON)</w:t>
      </w:r>
      <w:r>
        <w:t xml:space="preserve"> s výjimkou odměn z dohod o pracích konaných mimo pracovní poměr dle zákona č. 262/2006 Sb.,</w:t>
      </w:r>
    </w:p>
    <w:p w14:paraId="4F58C904" w14:textId="27C5F03D" w:rsidR="00BD6C23" w:rsidRDefault="00BD6C23" w:rsidP="0017738B">
      <w:pPr>
        <w:pStyle w:val="3rove-trval"/>
      </w:pPr>
      <w:r w:rsidRPr="00BB690E">
        <w:t>výdaje na zaměstnance, ke kterým nejsou zaměstnavatelé povinni dle zvláštních právních předpisů (příspěvky na penzijní/životní pojištění, příspěvky na rekreaci, stravenky apod</w:t>
      </w:r>
      <w:r w:rsidRPr="00641673">
        <w:t>.),</w:t>
      </w:r>
      <w:r w:rsidRPr="002F5064">
        <w:rPr>
          <w:i/>
          <w:color w:val="5B9BD5" w:themeColor="accent1"/>
          <w:sz w:val="16"/>
          <w:szCs w:val="16"/>
        </w:rPr>
        <w:t xml:space="preserve"> </w:t>
      </w:r>
    </w:p>
    <w:p w14:paraId="3E94E201" w14:textId="2CE33B24" w:rsidR="00BD6C23" w:rsidRDefault="00BD6C23" w:rsidP="00C37053">
      <w:pPr>
        <w:pStyle w:val="3rove-trval"/>
      </w:pPr>
      <w:r w:rsidRPr="00BB690E">
        <w:t>výdaje na školení a kurzy</w:t>
      </w:r>
      <w:r>
        <w:t>,</w:t>
      </w:r>
      <w:r w:rsidR="002B5AD7">
        <w:t xml:space="preserve"> které nesouvisí s účelem, na který je dotace poskytována,</w:t>
      </w:r>
    </w:p>
    <w:p w14:paraId="70AF169A" w14:textId="77777777" w:rsidR="00BD6C23" w:rsidRDefault="00BD6C23" w:rsidP="00C37053">
      <w:pPr>
        <w:pStyle w:val="3rove-trval"/>
      </w:pPr>
      <w:r w:rsidRPr="00BB690E">
        <w:t>dlužný úrok, pokuty a finanční sankce</w:t>
      </w:r>
      <w:r>
        <w:t>,</w:t>
      </w:r>
    </w:p>
    <w:p w14:paraId="080314C6" w14:textId="71259FB9" w:rsidR="00BD6C23" w:rsidRDefault="00BD6C23" w:rsidP="00C37053">
      <w:pPr>
        <w:pStyle w:val="3rove-trval"/>
      </w:pPr>
      <w:r w:rsidRPr="00BB690E">
        <w:t>výdaje na přípravné studie nebo jiné přípravné činnosti vč. zpracování žádosti o</w:t>
      </w:r>
      <w:r w:rsidR="002321A0">
        <w:t> </w:t>
      </w:r>
      <w:r w:rsidRPr="00BB690E">
        <w:t>poskytnutí dotace</w:t>
      </w:r>
      <w:r>
        <w:t>,</w:t>
      </w:r>
    </w:p>
    <w:p w14:paraId="40E70BA9" w14:textId="77777777" w:rsidR="00BD6C23" w:rsidRDefault="00BD6C23" w:rsidP="00C37053">
      <w:pPr>
        <w:pStyle w:val="3rove-trval"/>
      </w:pPr>
      <w:r w:rsidRPr="00BB690E">
        <w:t>účetně nedoložitelné výdaje</w:t>
      </w:r>
      <w:r>
        <w:t>,</w:t>
      </w:r>
    </w:p>
    <w:p w14:paraId="7AB7294F" w14:textId="60D14057" w:rsidR="00BD6C23" w:rsidRDefault="00BD6C23" w:rsidP="00C37053">
      <w:pPr>
        <w:pStyle w:val="3rove-trval"/>
      </w:pPr>
      <w:r w:rsidRPr="00BB690E">
        <w:t>daň silniční, daň z nemovitých věcí, poplatek za znečištění ovzduší, televizní a</w:t>
      </w:r>
      <w:r w:rsidR="008A16E6">
        <w:t> </w:t>
      </w:r>
      <w:r w:rsidRPr="00BB690E">
        <w:t>rozhlasový poplatek atp.</w:t>
      </w:r>
      <w:r>
        <w:t>,</w:t>
      </w:r>
    </w:p>
    <w:p w14:paraId="5FB8B083" w14:textId="13C19616" w:rsidR="00BD6C23" w:rsidRDefault="00BD6C23" w:rsidP="00C37053">
      <w:pPr>
        <w:pStyle w:val="3rove-trval"/>
      </w:pPr>
      <w:r w:rsidRPr="00BB690E">
        <w:t>výdaje na pohoštění nad rámec pitného režimu a stravování účastníků akce konané v přímé souvislosti s účelem,</w:t>
      </w:r>
      <w:r w:rsidR="003A4326">
        <w:t xml:space="preserve"> na který je dotace poskytována</w:t>
      </w:r>
      <w:r>
        <w:t>,</w:t>
      </w:r>
    </w:p>
    <w:p w14:paraId="71BD75F8" w14:textId="2E7CE6DE" w:rsidR="006033A0" w:rsidRDefault="003A4326" w:rsidP="00C37053">
      <w:pPr>
        <w:pStyle w:val="3rove-trval"/>
      </w:pPr>
      <w:r>
        <w:t>nákup alkoholických nápojů</w:t>
      </w:r>
      <w:r w:rsidR="00BD6C23">
        <w:t>.</w:t>
      </w:r>
      <w:r w:rsidR="00BD6C23" w:rsidRPr="008024B4" w:rsidDel="00BD6C23">
        <w:rPr>
          <w:i/>
          <w:color w:val="5B9BD5" w:themeColor="accent1"/>
          <w:sz w:val="16"/>
          <w:szCs w:val="16"/>
        </w:rPr>
        <w:t xml:space="preserve"> </w:t>
      </w:r>
      <w:r w:rsidR="004F068F">
        <w:rPr>
          <w:i/>
          <w:color w:val="5B9BD5" w:themeColor="accent1"/>
          <w:sz w:val="16"/>
          <w:szCs w:val="16"/>
        </w:rPr>
        <w:t xml:space="preserve">  </w:t>
      </w:r>
    </w:p>
    <w:p w14:paraId="34A8F332" w14:textId="4D6AC311" w:rsidR="00963551" w:rsidRDefault="00B24D28" w:rsidP="008D2BF4">
      <w:pPr>
        <w:pStyle w:val="2rove"/>
        <w:ind w:left="567"/>
      </w:pPr>
      <w:r w:rsidRPr="00A103DD">
        <w:t>Příjemce je povinen</w:t>
      </w:r>
      <w:r w:rsidR="00097AA1" w:rsidRPr="00A103DD">
        <w:t xml:space="preserve"> </w:t>
      </w:r>
      <w:r w:rsidR="00097AA1">
        <w:t>v době realizace</w:t>
      </w:r>
      <w:r w:rsidRPr="00A103DD">
        <w:t xml:space="preserve"> vést o projektu oddělenou účetní evidenci a výkaznictví. Musí být jednoznačně prokazatelné, zda konkrétní výdaj nebo příjem je vykazován na</w:t>
      </w:r>
      <w:r w:rsidR="008A16E6">
        <w:t> </w:t>
      </w:r>
      <w:r w:rsidRPr="00A103DD">
        <w:t>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641673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64DD2">
        <w:t> </w:t>
      </w:r>
      <w:r w:rsidRPr="00A103DD">
        <w:t>320/2001 Sb., o finanční kontrole, ve znění pozdějších předpisů</w:t>
      </w:r>
      <w:r>
        <w:t>.</w:t>
      </w:r>
    </w:p>
    <w:p w14:paraId="646D8E6C" w14:textId="0E2B780B" w:rsidR="00B24D28" w:rsidRDefault="00B24D28" w:rsidP="008D2BF4">
      <w:pPr>
        <w:pStyle w:val="2rove"/>
        <w:ind w:left="567"/>
      </w:pPr>
      <w:r w:rsidRPr="00A103DD">
        <w:t>Ustanovení o dani z přidané hodnoty</w:t>
      </w:r>
      <w:r>
        <w:t xml:space="preserve"> (dále jen „</w:t>
      </w:r>
      <w:r w:rsidRPr="00641673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2321A0">
        <w:t> </w:t>
      </w:r>
      <w:r w:rsidR="004B6331">
        <w:t>přidané hodnoty, ve znění pozdějších předpisů (dále jen „</w:t>
      </w:r>
      <w:r w:rsidR="004B6331" w:rsidRPr="00641673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Default="00B24D28" w:rsidP="00C37053">
      <w:pPr>
        <w:pStyle w:val="3rove-trval"/>
      </w:pPr>
      <w:r w:rsidRPr="00A103DD">
        <w:t>DPH je pro příjemce způsobilým výdajem, pokud příjemce není plátcem DPH nebo příjemci nevzniká nárok na odpočet DPH</w:t>
      </w:r>
      <w:r>
        <w:t>;</w:t>
      </w:r>
    </w:p>
    <w:p w14:paraId="7738CF1B" w14:textId="77777777" w:rsidR="00B24D28" w:rsidRDefault="00B24D28" w:rsidP="00C37053">
      <w:pPr>
        <w:pStyle w:val="3rove-trval"/>
      </w:pPr>
      <w:r>
        <w:t>v</w:t>
      </w:r>
      <w:r w:rsidRPr="00A103DD">
        <w:t> případě, že výdaje projektu jsou způsobilými výdaji pouze z části, pak je DPH způsobilým výdajem ze stejné části</w:t>
      </w:r>
      <w:r>
        <w:t>;</w:t>
      </w:r>
    </w:p>
    <w:p w14:paraId="596E42FB" w14:textId="77777777" w:rsidR="00B24D28" w:rsidRDefault="00B24D28" w:rsidP="00C37053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C37053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605E1541" w:rsidR="00B24D28" w:rsidRDefault="00B24D28" w:rsidP="00C37053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2321A0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1DBED47F" w:rsidR="00B24D28" w:rsidRDefault="00B24D28" w:rsidP="00C37053">
      <w:pPr>
        <w:pStyle w:val="3rove-trval"/>
      </w:pPr>
      <w:r>
        <w:lastRenderedPageBreak/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4B876FB0" w14:textId="77777777" w:rsidR="00963551" w:rsidRDefault="00B24D28" w:rsidP="00963551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r w:rsidR="00BE451E">
        <w:t>doloží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3ABEF9F1" w:rsidR="00B64E1E" w:rsidRDefault="00CD2C76" w:rsidP="00442CC4">
      <w:pPr>
        <w:pStyle w:val="2rove"/>
        <w:ind w:left="567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0813AD0C" w:rsidR="00FC2E44" w:rsidRDefault="00610168" w:rsidP="00442CC4">
      <w:pPr>
        <w:pStyle w:val="2rove"/>
        <w:ind w:left="567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 w:rsidR="004530F7">
        <w:t xml:space="preserve">. </w:t>
      </w:r>
      <w:r w:rsidR="00FC2E44">
        <w:t xml:space="preserve">Příjemce je povinen informovat poskytovatele o přeměně právnické osoby a předat mu projekt přeměny alespoň </w:t>
      </w:r>
      <w:r w:rsidR="00586C8E">
        <w:t>30 dnů</w:t>
      </w:r>
      <w:r w:rsidR="00FC2E44">
        <w:t xml:space="preserve"> přede dnem, kdy má být přeměn</w:t>
      </w:r>
      <w:r w:rsidR="004530F7">
        <w:t>a schválena příslušným orgánem.</w:t>
      </w:r>
    </w:p>
    <w:p w14:paraId="1936A6D1" w14:textId="528A7CAD" w:rsidR="00FC2E44" w:rsidRDefault="00A233FD" w:rsidP="00442CC4">
      <w:pPr>
        <w:pStyle w:val="2rove"/>
        <w:ind w:left="567"/>
      </w:pPr>
      <w:r>
        <w:t>Příjemce je dále povinen:</w:t>
      </w:r>
    </w:p>
    <w:p w14:paraId="60AA6562" w14:textId="77777777" w:rsidR="00A233FD" w:rsidRDefault="00A233FD" w:rsidP="00C37053">
      <w:pPr>
        <w:pStyle w:val="3rove-trval"/>
      </w:pPr>
      <w:r>
        <w:t>zajistit, aby všechny údaje, které uvádí poskytovateli, byly vždy úplné a pravdivé,</w:t>
      </w:r>
    </w:p>
    <w:p w14:paraId="0400490E" w14:textId="4E0EA294" w:rsidR="00A233FD" w:rsidRDefault="00BD6C23" w:rsidP="00C37053">
      <w:pPr>
        <w:pStyle w:val="3rove-trval"/>
      </w:pPr>
      <w:r>
        <w:t>zabezpečit archivaci veškeré dokumentace k projektu včetně účetnictví o projektu po</w:t>
      </w:r>
      <w:r w:rsidR="00335A34">
        <w:t> </w:t>
      </w:r>
      <w:r>
        <w:t xml:space="preserve">dobu 10 let </w:t>
      </w:r>
      <w:r w:rsidR="00F82245">
        <w:t xml:space="preserve">ode dne </w:t>
      </w:r>
      <w:r w:rsidR="00F82245" w:rsidRPr="00B007CA">
        <w:t>ukončení doby realizace dle čl. 2.2</w:t>
      </w:r>
    </w:p>
    <w:p w14:paraId="19FF5982" w14:textId="2E95A31E" w:rsidR="00A233FD" w:rsidRDefault="00A233FD" w:rsidP="00C37053">
      <w:pPr>
        <w:pStyle w:val="3rove-trval"/>
      </w:pPr>
      <w:r>
        <w:t xml:space="preserve">dohodnout s dodavateli v rámci projektu fakturační podmínky tak, aby byla doložena účelovost faktur včetně </w:t>
      </w:r>
      <w:r w:rsidR="0087162C">
        <w:t>specifikace jednotlivých výdajů.</w:t>
      </w:r>
    </w:p>
    <w:p w14:paraId="79137B86" w14:textId="77777777" w:rsidR="00A44BE2" w:rsidRDefault="00A44BE2" w:rsidP="00A44BE2">
      <w:pPr>
        <w:pStyle w:val="2rove"/>
        <w:ind w:left="567"/>
      </w:pPr>
      <w:r w:rsidRPr="004D3B35">
        <w:t>Příjemce prohlašuje, že není účastníkem soudního řízení, jehož jedním z dalších účastníků je poskytovatel, případně právnická osoba zřízená nebo založená poskytovatelem</w:t>
      </w:r>
      <w:r>
        <w:t>.</w:t>
      </w:r>
    </w:p>
    <w:p w14:paraId="272B88FC" w14:textId="5356EA81" w:rsidR="00A233FD" w:rsidRDefault="00A233FD" w:rsidP="00442CC4">
      <w:pPr>
        <w:pStyle w:val="2rove"/>
        <w:ind w:left="567"/>
      </w:pPr>
      <w:r>
        <w:t>Příjemce bere na vědomí, že dotace poskytnutá dle této smlouvy je</w:t>
      </w:r>
      <w:r w:rsidR="004530F7">
        <w:t xml:space="preserve"> </w:t>
      </w:r>
      <w:r w:rsidR="005269E1" w:rsidRPr="004530F7">
        <w:rPr>
          <w:b/>
        </w:rPr>
        <w:t>p</w:t>
      </w:r>
      <w:r w:rsidRPr="004530F7">
        <w:rPr>
          <w:b/>
        </w:rPr>
        <w:t>odporou de minimis</w:t>
      </w:r>
      <w:r>
        <w:t xml:space="preserve"> ve</w:t>
      </w:r>
      <w:r w:rsidR="009D62F9">
        <w:t> </w:t>
      </w:r>
      <w:r>
        <w:t>smyslu</w:t>
      </w:r>
      <w:r w:rsidRPr="00A233FD">
        <w:t xml:space="preserve"> Nařízení Komise (EU) </w:t>
      </w:r>
      <w:r w:rsidR="009E1319">
        <w:t>2023</w:t>
      </w:r>
      <w:r w:rsidRPr="00A233FD">
        <w:t>/2</w:t>
      </w:r>
      <w:r w:rsidR="009E1319">
        <w:t>8</w:t>
      </w:r>
      <w:r w:rsidRPr="00A233FD">
        <w:t>3</w:t>
      </w:r>
      <w:r w:rsidR="009E1319">
        <w:t>1</w:t>
      </w:r>
      <w:r w:rsidRPr="00A233FD">
        <w:t xml:space="preserve"> ze dne 1</w:t>
      </w:r>
      <w:r w:rsidR="009E1319">
        <w:t>3</w:t>
      </w:r>
      <w:r w:rsidRPr="00A233FD">
        <w:t>.</w:t>
      </w:r>
      <w:r>
        <w:t xml:space="preserve"> </w:t>
      </w:r>
      <w:r w:rsidR="009E1319">
        <w:t>prosince</w:t>
      </w:r>
      <w:r>
        <w:t xml:space="preserve"> </w:t>
      </w:r>
      <w:r w:rsidRPr="00A233FD">
        <w:t>20</w:t>
      </w:r>
      <w:r w:rsidR="009E1319">
        <w:t>2</w:t>
      </w:r>
      <w:r w:rsidRPr="00A233FD">
        <w:t>3 o použití článků 107 a 108 Smlouvy o fungování Evropské unie na podporu de minimis</w:t>
      </w:r>
      <w:r w:rsidR="00814D21">
        <w:t>.</w:t>
      </w:r>
      <w:r w:rsidR="00D87383" w:rsidRPr="0099201B">
        <w:t xml:space="preserve"> V souvislosti s</w:t>
      </w:r>
      <w:r w:rsidR="002321A0">
        <w:t> </w:t>
      </w:r>
      <w:r w:rsidR="00D87383" w:rsidRPr="0099201B">
        <w:t>podporou de minimis se příjemce zavazuje, že v případě, že v období tří účetních let od nabytí účinnosti této smlouvy dojde k jeho rozdělení na dva či více samostatné podniky, respektive v případě</w:t>
      </w:r>
      <w:r w:rsidR="00747C54">
        <w:t xml:space="preserve"> jeho sloučení s</w:t>
      </w:r>
      <w:r w:rsidR="009D62F9">
        <w:t> </w:t>
      </w:r>
      <w:r w:rsidR="00747C54">
        <w:t xml:space="preserve">jiným podnikem nebo </w:t>
      </w:r>
      <w:r w:rsidR="00D87383" w:rsidRPr="0099201B">
        <w:t xml:space="preserve">převodu jmění podniku na společníka, je povinen </w:t>
      </w:r>
      <w:r w:rsidR="00506961">
        <w:t>do 15 dnů</w:t>
      </w:r>
      <w:r w:rsidR="00D87383" w:rsidRPr="0099201B">
        <w:t xml:space="preserve"> písemně informovat poskytovatele o této skutečnosti a</w:t>
      </w:r>
      <w:r w:rsidR="002321A0">
        <w:t> </w:t>
      </w:r>
      <w:r w:rsidR="00D87383" w:rsidRPr="0099201B">
        <w:t xml:space="preserve">poskytnout mu informace nezbytné pro úpravu záznamu podpory de minimis poskytnuté dle této smlouvy v centrálním registru podpor malého rozsahu. </w:t>
      </w:r>
    </w:p>
    <w:p w14:paraId="36E0053D" w14:textId="2CD054D5" w:rsidR="00D125C5" w:rsidRPr="00736E24" w:rsidRDefault="00A80611" w:rsidP="00442CC4">
      <w:pPr>
        <w:pStyle w:val="2rove"/>
        <w:ind w:left="567"/>
      </w:pPr>
      <w:r w:rsidRPr="00736E24">
        <w:t xml:space="preserve">Příjemce je povinen s dostatečným předstihem (alespoň </w:t>
      </w:r>
      <w:r w:rsidR="004B661E" w:rsidRPr="00736E24">
        <w:t xml:space="preserve">14 kalendářních dnů) informovat </w:t>
      </w:r>
      <w:r w:rsidR="00895D5E" w:rsidRPr="00736E24">
        <w:t>poskytovatele o všech akcích uskutečněných v rámci projektu po dobu realizace projektu, a to</w:t>
      </w:r>
      <w:r w:rsidR="00C90528" w:rsidRPr="00736E24">
        <w:t xml:space="preserve"> včetně jejich termínů a míst konání. Tato povinnost je splněna písemným oznámením vedoucímu</w:t>
      </w:r>
      <w:r w:rsidR="001A555B" w:rsidRPr="00736E24">
        <w:t xml:space="preserve"> odboru strategického rozvoje kraje Krajského úřadu Zlínského kraje</w:t>
      </w:r>
      <w:r w:rsidR="00B96A00" w:rsidRPr="00736E24">
        <w:t xml:space="preserve"> e-mailem na adresu</w:t>
      </w:r>
      <w:r w:rsidR="00E204AB">
        <w:t>:</w:t>
      </w:r>
      <w:r w:rsidR="00B96A00" w:rsidRPr="00736E24">
        <w:t xml:space="preserve"> </w:t>
      </w:r>
      <w:hyperlink r:id="rId12" w:history="1">
        <w:r w:rsidR="00B96A00" w:rsidRPr="00736E24">
          <w:rPr>
            <w:rStyle w:val="Hypertextovodkaz"/>
            <w:color w:val="auto"/>
          </w:rPr>
          <w:t>milan.filip@zlinskykraj.cz</w:t>
        </w:r>
      </w:hyperlink>
      <w:r w:rsidR="00736E24">
        <w:t>,</w:t>
      </w:r>
      <w:r w:rsidR="00B96A00" w:rsidRPr="00736E24">
        <w:t xml:space="preserve"> a v</w:t>
      </w:r>
      <w:r w:rsidR="004B189C" w:rsidRPr="00736E24">
        <w:t> </w:t>
      </w:r>
      <w:r w:rsidR="00B96A00" w:rsidRPr="00736E24">
        <w:t>kopii</w:t>
      </w:r>
      <w:r w:rsidR="004B189C" w:rsidRPr="00736E24">
        <w:t xml:space="preserve"> na adresu</w:t>
      </w:r>
      <w:r w:rsidR="00E204AB">
        <w:t>:</w:t>
      </w:r>
      <w:r w:rsidR="00736E24" w:rsidRPr="00736E24">
        <w:t xml:space="preserve"> </w:t>
      </w:r>
      <w:r w:rsidR="00736E24" w:rsidRPr="00736E24">
        <w:rPr>
          <w:rStyle w:val="Hypertextovodkaz"/>
          <w:color w:val="auto"/>
        </w:rPr>
        <w:t>dana.koplikova@zlinskykraj.cz</w:t>
      </w:r>
      <w:r w:rsidR="00736E24" w:rsidRPr="00736E24">
        <w:t>.</w:t>
      </w:r>
    </w:p>
    <w:p w14:paraId="41BADFE2" w14:textId="77777777" w:rsidR="00CB78A2" w:rsidRPr="00736E24" w:rsidRDefault="00703656" w:rsidP="00C37053">
      <w:pPr>
        <w:pStyle w:val="Nadpis1"/>
      </w:pPr>
      <w:r w:rsidRPr="00736E24">
        <w:t>Povinnosti příjemce při zajišťování publicity poskytovatele</w:t>
      </w:r>
    </w:p>
    <w:p w14:paraId="392BBF70" w14:textId="77777777" w:rsidR="00703656" w:rsidRDefault="00703656" w:rsidP="00442CC4">
      <w:pPr>
        <w:pStyle w:val="2rove"/>
        <w:ind w:left="567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442CC4">
      <w:pPr>
        <w:pStyle w:val="2rove"/>
        <w:ind w:left="567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0428657D" w:rsidR="00703656" w:rsidRDefault="00703656" w:rsidP="00442CC4">
      <w:pPr>
        <w:pStyle w:val="2rove"/>
        <w:ind w:left="567"/>
      </w:pPr>
      <w:r>
        <w:t xml:space="preserve">Přijetím </w:t>
      </w:r>
      <w:r w:rsidRPr="00703656">
        <w:t xml:space="preserve">finančních prostředků z rozpočtu Zlínského kraje získává příjemce souhlas s užitím loga Zlínského kraje, které je k dispozici na </w:t>
      </w:r>
      <w:r w:rsidR="00442CC4" w:rsidRPr="00D23307">
        <w:rPr>
          <w:rFonts w:cs="Arial"/>
          <w:i/>
          <w:color w:val="5B9BD5" w:themeColor="accent1"/>
          <w:szCs w:val="20"/>
        </w:rPr>
        <w:t>https://zlinskykraj.cz/logo-zlinskeho-kraje</w:t>
      </w:r>
      <w:r w:rsidRPr="00703656">
        <w:t>. Logo 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442CC4">
      <w:pPr>
        <w:pStyle w:val="2rove"/>
        <w:ind w:left="567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logem Zlínského kraje a/nebo formulací: „Název akce“ je financována/spolufinancována Zlínským krajem.</w:t>
      </w:r>
    </w:p>
    <w:p w14:paraId="4D0E230C" w14:textId="5A1FCAF0" w:rsidR="00C92705" w:rsidRDefault="00C92705" w:rsidP="00442CC4">
      <w:pPr>
        <w:pStyle w:val="2rove"/>
        <w:ind w:left="567"/>
      </w:pPr>
      <w:r>
        <w:t>Příjemce je dále povinen prezentovat poskytovatele s</w:t>
      </w:r>
      <w:r w:rsidR="0087162C">
        <w:t> </w:t>
      </w:r>
      <w:r>
        <w:t>využitím</w:t>
      </w:r>
      <w:r w:rsidR="0087162C">
        <w:t xml:space="preserve"> </w:t>
      </w:r>
      <w:r>
        <w:t xml:space="preserve">alespoň </w:t>
      </w:r>
      <w:r w:rsidR="00ED32A1">
        <w:t>2 z těchto</w:t>
      </w:r>
      <w:r>
        <w:t xml:space="preserve"> prostředku komunikace, který doloží v Závěrečné </w:t>
      </w:r>
      <w:r w:rsidR="00FB265A">
        <w:t>zprávě:</w:t>
      </w:r>
    </w:p>
    <w:p w14:paraId="4826970D" w14:textId="56E08445" w:rsidR="000228C3" w:rsidRDefault="000228C3" w:rsidP="00C37053">
      <w:pPr>
        <w:pStyle w:val="3rove-trval"/>
      </w:pPr>
      <w:r w:rsidRPr="00A960B0">
        <w:lastRenderedPageBreak/>
        <w:t>billboard (doloží se fotografií a informací o období vyvěšení)</w:t>
      </w:r>
      <w:r>
        <w:t>,</w:t>
      </w:r>
    </w:p>
    <w:p w14:paraId="0B7DBA39" w14:textId="77777777" w:rsidR="000228C3" w:rsidRDefault="000228C3" w:rsidP="00C37053">
      <w:pPr>
        <w:pStyle w:val="3rove-trval"/>
      </w:pPr>
      <w:r w:rsidRPr="00A960B0">
        <w:t>informační tabule (nástěnky, apod.), (doloží se kopií informace, která byla uveřejněna s uvedením doby uveřejnění)</w:t>
      </w:r>
      <w:r>
        <w:t>,</w:t>
      </w:r>
    </w:p>
    <w:p w14:paraId="715DD0C8" w14:textId="77777777" w:rsidR="00FB265A" w:rsidRDefault="001E5A62" w:rsidP="00C37053">
      <w:pPr>
        <w:pStyle w:val="3rove-trval"/>
      </w:pPr>
      <w:r w:rsidRPr="00A960B0">
        <w:t>obecní zpravodaj (doloží se originálem nebo kopií příslušného článku a informací, kdy byl publikován</w:t>
      </w:r>
      <w:r>
        <w:t>),</w:t>
      </w:r>
    </w:p>
    <w:p w14:paraId="20E8486F" w14:textId="7673345F" w:rsidR="00E65C08" w:rsidRDefault="00E65C08" w:rsidP="00C37053">
      <w:pPr>
        <w:pStyle w:val="3rove-trval"/>
      </w:pPr>
      <w:r>
        <w:t>pamětní deska (doloží se fotografií a informací o datu umístění této desky)</w:t>
      </w:r>
    </w:p>
    <w:p w14:paraId="4B74040D" w14:textId="77777777" w:rsidR="000228C3" w:rsidRDefault="000228C3" w:rsidP="00C37053">
      <w:pPr>
        <w:pStyle w:val="3rove-trval"/>
      </w:pPr>
      <w:r w:rsidRPr="00A960B0">
        <w:t>periodikum vydávané ve smyslu zákona č. 46/2000 Sb., tiskový zákon, ve znění pozdějších předpisů (doloží se originálem nebo kopií příslušného článku a informací, kdy byl publikován)</w:t>
      </w:r>
      <w:r>
        <w:t>,</w:t>
      </w:r>
    </w:p>
    <w:p w14:paraId="3CCC45E2" w14:textId="77777777" w:rsidR="000228C3" w:rsidRDefault="000228C3" w:rsidP="00C37053">
      <w:pPr>
        <w:pStyle w:val="3rove-trval"/>
      </w:pPr>
      <w:r w:rsidRPr="00A960B0">
        <w:t>propagační předměty (doloží se předložením propagačního předmětu)</w:t>
      </w:r>
      <w:r>
        <w:t>,</w:t>
      </w:r>
    </w:p>
    <w:p w14:paraId="03A1BCCE" w14:textId="77777777" w:rsidR="000228C3" w:rsidRDefault="000228C3" w:rsidP="00C37053">
      <w:pPr>
        <w:pStyle w:val="3rove-trval"/>
      </w:pPr>
      <w:r w:rsidRPr="00A960B0">
        <w:t>regionální tisk (doloží se originálem či kopií příslušného článku a informací, kdy byl publikován)</w:t>
      </w:r>
      <w:r>
        <w:t>,</w:t>
      </w:r>
    </w:p>
    <w:p w14:paraId="6ED4EC2C" w14:textId="2D091DC8" w:rsidR="000228C3" w:rsidRDefault="000228C3" w:rsidP="00C37053">
      <w:pPr>
        <w:pStyle w:val="3rove-trval"/>
      </w:pPr>
      <w:r w:rsidRPr="00A960B0">
        <w:t>rozhlas – obecní či regionální/celoplošné vysílání (doloží se přepisem hlášeného textu a</w:t>
      </w:r>
      <w:r w:rsidR="002321A0">
        <w:t> </w:t>
      </w:r>
      <w:r w:rsidRPr="00A960B0">
        <w:t>informací o datu, kdy byla informace hlášena)</w:t>
      </w:r>
      <w:r>
        <w:t>,</w:t>
      </w:r>
    </w:p>
    <w:p w14:paraId="79753CCE" w14:textId="77777777" w:rsidR="000228C3" w:rsidRDefault="000228C3" w:rsidP="00C37053">
      <w:pPr>
        <w:pStyle w:val="3rove-trval"/>
      </w:pPr>
      <w:r w:rsidRPr="00A960B0">
        <w:t>televizní informační kanál (doloží se písemnou informací o datu a čase, kdy byla informace v médiu uvedena a text této informace)</w:t>
      </w:r>
      <w:r>
        <w:t>,</w:t>
      </w:r>
    </w:p>
    <w:p w14:paraId="21AAAF89" w14:textId="77777777" w:rsidR="001E5A62" w:rsidRDefault="001E5A62" w:rsidP="00C37053">
      <w:pPr>
        <w:pStyle w:val="3rove-trval"/>
      </w:pPr>
      <w:r w:rsidRPr="00A960B0">
        <w:t>úřední deska (doloží se kopií informace, která byla uveřejněna, s uvedením doby uveřejnění)</w:t>
      </w:r>
      <w:r>
        <w:t>,</w:t>
      </w:r>
    </w:p>
    <w:p w14:paraId="2C1CE89F" w14:textId="77777777" w:rsidR="001E5A62" w:rsidRDefault="001E5A62" w:rsidP="00C37053">
      <w:pPr>
        <w:pStyle w:val="3rove-trval"/>
      </w:pPr>
      <w:r w:rsidRPr="00A960B0">
        <w:t>výroční zpráva (doloží se originálem nebo kopií této zprávy či její části obsahující prezentaci poskytovatele)</w:t>
      </w:r>
      <w:r>
        <w:t>,</w:t>
      </w:r>
    </w:p>
    <w:p w14:paraId="798998D9" w14:textId="251A7175" w:rsidR="001E5A62" w:rsidRPr="0087162C" w:rsidRDefault="000228C3" w:rsidP="0087162C">
      <w:pPr>
        <w:pStyle w:val="3rove-trval"/>
        <w:rPr>
          <w:rStyle w:val="Kvbruaodstrann"/>
          <w:i w:val="0"/>
          <w:color w:val="auto"/>
          <w:sz w:val="20"/>
          <w:szCs w:val="22"/>
        </w:rPr>
      </w:pPr>
      <w:r w:rsidRPr="00A960B0">
        <w:t>webové stránky (doloží se odkazem na příslušné stránky s uvedením, kdy byla informace uveřejněna)</w:t>
      </w:r>
      <w:r w:rsidR="0087162C">
        <w:t>.</w:t>
      </w:r>
    </w:p>
    <w:p w14:paraId="2EB9C248" w14:textId="5A94E38B" w:rsidR="00CB78A2" w:rsidRDefault="00357941" w:rsidP="00C37053">
      <w:pPr>
        <w:pStyle w:val="Nadpis1"/>
      </w:pPr>
      <w:r w:rsidRPr="00C37053">
        <w:t>Sankce</w:t>
      </w:r>
    </w:p>
    <w:p w14:paraId="275F0AF7" w14:textId="04377C2B" w:rsidR="00D64AB1" w:rsidRDefault="00D64AB1" w:rsidP="00442CC4">
      <w:pPr>
        <w:pStyle w:val="2rove"/>
        <w:ind w:left="567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641673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442CC4">
      <w:pPr>
        <w:pStyle w:val="2rove"/>
        <w:ind w:left="567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3FE0B0CE" w14:textId="77777777" w:rsidR="002D215A" w:rsidRDefault="002D215A" w:rsidP="00C37053">
      <w:pPr>
        <w:pStyle w:val="3rove-trval"/>
      </w:pPr>
      <w:r>
        <w:t>příjemce nedodrží účel dotace,</w:t>
      </w:r>
    </w:p>
    <w:p w14:paraId="29EB9EB6" w14:textId="77777777" w:rsidR="002D215A" w:rsidRPr="00D11E31" w:rsidRDefault="002D215A" w:rsidP="00C37053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4F3477B8" w14:textId="681FBD57" w:rsidR="002D215A" w:rsidRPr="00D11E31" w:rsidRDefault="00701EAB" w:rsidP="00C37053">
      <w:pPr>
        <w:pStyle w:val="3rove-trval"/>
      </w:pPr>
      <w:r w:rsidRPr="00D11E31">
        <w:t>dojde k</w:t>
      </w:r>
      <w:r>
        <w:t xml:space="preserve"> podstatnému </w:t>
      </w:r>
      <w:r w:rsidRPr="00D11E31">
        <w:t>nenaplnění monit</w:t>
      </w:r>
      <w:r>
        <w:t>orovacího indikátoru dle čl. 3.2</w:t>
      </w:r>
      <w:r w:rsidR="002D215A" w:rsidRPr="00D11E31">
        <w:t>,</w:t>
      </w:r>
    </w:p>
    <w:p w14:paraId="2AE1B240" w14:textId="77777777" w:rsidR="002D215A" w:rsidRPr="00D11E31" w:rsidRDefault="002D215A" w:rsidP="00C37053">
      <w:pPr>
        <w:pStyle w:val="3rove-trval"/>
      </w:pPr>
      <w:r w:rsidRPr="00D11E31">
        <w:t>příjemce nepředloží Závěrečnou zprávu ani ve lhůtě 30 pracovních dní po uplynutí lhůty dle čl. 4.4,</w:t>
      </w:r>
    </w:p>
    <w:p w14:paraId="2F800403" w14:textId="77777777" w:rsidR="002D215A" w:rsidRDefault="002D215A" w:rsidP="00C37053">
      <w:pPr>
        <w:pStyle w:val="3rove-trval"/>
      </w:pPr>
      <w:r w:rsidRPr="00D11E31">
        <w:t>příjemce poruší povinnost dle čl. 5.7 nebo 5.8,</w:t>
      </w:r>
    </w:p>
    <w:p w14:paraId="5D26BADC" w14:textId="09931A12" w:rsidR="002D215A" w:rsidRPr="00B60582" w:rsidRDefault="002D215A" w:rsidP="00C37053">
      <w:pPr>
        <w:pStyle w:val="3rove-trval"/>
      </w:pPr>
      <w:r w:rsidRPr="00D11E31">
        <w:t>příjemce poruší pravid</w:t>
      </w:r>
      <w:r w:rsidR="007D123B">
        <w:t>la veřejné podpory dle čl. 5.</w:t>
      </w:r>
      <w:r w:rsidR="00BB7418">
        <w:t>10</w:t>
      </w:r>
      <w:r w:rsidR="007D123B">
        <w:t>.</w:t>
      </w:r>
    </w:p>
    <w:p w14:paraId="1E26630F" w14:textId="7896F6F8" w:rsidR="00B60582" w:rsidRPr="00D11E31" w:rsidRDefault="00B60582" w:rsidP="00442CC4">
      <w:pPr>
        <w:pStyle w:val="2rove"/>
        <w:ind w:left="567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8BFA566" w:rsidR="002D215A" w:rsidRDefault="002D215A" w:rsidP="00C37053">
      <w:pPr>
        <w:pStyle w:val="3rove-trval"/>
        <w:rPr>
          <w:i/>
        </w:rPr>
      </w:pPr>
      <w:r>
        <w:t xml:space="preserve">příjemce neodstraní nedostatky v předložené </w:t>
      </w:r>
      <w:r w:rsidR="001F53B9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0AD346CA" w:rsidR="002D215A" w:rsidRPr="00C61735" w:rsidRDefault="000D31A2" w:rsidP="00C37053">
      <w:pPr>
        <w:pStyle w:val="3rove-trval"/>
      </w:pPr>
      <w:r>
        <w:t>příjemce v rozporu s čl. 5.2 uhradí výdaje později než ve lhůtě stanovené pro předložení závěrečné zprávy</w:t>
      </w:r>
      <w:r w:rsidR="007C2258">
        <w:t xml:space="preserve">. Za toto </w:t>
      </w:r>
      <w:r w:rsidR="00EB1154">
        <w:t>porušení bude</w:t>
      </w:r>
      <w:r w:rsidR="002D215A">
        <w:t xml:space="preserve"> příjemci uložen odvod ve výši takto opožděně uhrazené částky způsobilých výdajů.</w:t>
      </w:r>
    </w:p>
    <w:p w14:paraId="04347229" w14:textId="3704F823" w:rsidR="00357941" w:rsidRDefault="00357941" w:rsidP="00442CC4">
      <w:pPr>
        <w:pStyle w:val="2rove"/>
        <w:ind w:left="567"/>
      </w:pPr>
      <w:r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C37053">
      <w:pPr>
        <w:pStyle w:val="3rove-trval"/>
      </w:pPr>
      <w:r>
        <w:t xml:space="preserve">příjemce předloží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04E82A0A" w:rsidR="00485683" w:rsidRDefault="008D0B91" w:rsidP="00C37053">
      <w:pPr>
        <w:pStyle w:val="3rove-trval"/>
      </w:pPr>
      <w:r>
        <w:t>příjemce poruší povinnosti dle čl. 6</w:t>
      </w:r>
      <w:r w:rsidR="00F67AB4">
        <w:t>,</w:t>
      </w:r>
    </w:p>
    <w:p w14:paraId="1FFCFD08" w14:textId="3E8D7D9F" w:rsidR="00F67AB4" w:rsidRDefault="00F67AB4" w:rsidP="00C37053">
      <w:pPr>
        <w:pStyle w:val="3rove-trval"/>
      </w:pPr>
      <w:r>
        <w:t>příjemce poruší povinnost dle čl. 5.11</w:t>
      </w:r>
      <w:r w:rsidR="00202E65">
        <w:t>, odvod se uloží za každý jednotlivý případ porušení uvedené povinnosti.</w:t>
      </w:r>
    </w:p>
    <w:p w14:paraId="2579FBEB" w14:textId="0004BA53" w:rsidR="004D7E38" w:rsidRDefault="004D7E38" w:rsidP="00442CC4">
      <w:pPr>
        <w:pStyle w:val="2rove"/>
        <w:ind w:left="567"/>
      </w:pPr>
      <w:r>
        <w:lastRenderedPageBreak/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7B02C4A7" w:rsidR="00F50470" w:rsidRDefault="00F50470" w:rsidP="00C37053">
      <w:pPr>
        <w:pStyle w:val="3rove-trval"/>
      </w:pPr>
      <w:r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5% ze schválené dotace, </w:t>
      </w:r>
    </w:p>
    <w:p w14:paraId="22476C3E" w14:textId="5DBBDA79" w:rsidR="004F1656" w:rsidRDefault="004F1656" w:rsidP="00C37053">
      <w:pPr>
        <w:pStyle w:val="3rove-trval"/>
      </w:pPr>
      <w:r>
        <w:t xml:space="preserve">příjemce v rozporu s čl. </w:t>
      </w:r>
      <w:r w:rsidR="0056114B">
        <w:t>5.2</w:t>
      </w:r>
      <w:r>
        <w:t xml:space="preserve"> uhradí výdaje po uplynutí lhůty </w:t>
      </w:r>
      <w:r w:rsidR="000C5740">
        <w:t xml:space="preserve">pro úhradu výdajů </w:t>
      </w:r>
      <w:r>
        <w:t xml:space="preserve">dle čl. </w:t>
      </w:r>
      <w:r w:rsidR="0056114B">
        <w:t>5.2</w:t>
      </w:r>
      <w:r>
        <w:t>, ale ne později než do lhůty pro předlože</w:t>
      </w:r>
      <w:r w:rsidR="00D11E31">
        <w:t xml:space="preserve">ní </w:t>
      </w:r>
      <w:r w:rsidR="00740741">
        <w:t xml:space="preserve">závěrečné </w:t>
      </w:r>
      <w:r w:rsidR="00D11E31">
        <w:t>zprávy dle čl. 4.4.</w:t>
      </w:r>
      <w:r>
        <w:t xml:space="preserve"> </w:t>
      </w:r>
      <w:r w:rsidR="00D11E31">
        <w:t>P</w:t>
      </w:r>
      <w:r>
        <w:t xml:space="preserve">říjemci </w:t>
      </w:r>
      <w:r w:rsidR="00D11E31">
        <w:t xml:space="preserve">bude </w:t>
      </w:r>
      <w:r>
        <w:t>uložen snížený odvod ve výši 10 % z takto opožděně uhrazené částky způsobilých výdajů.</w:t>
      </w:r>
      <w:r w:rsidR="001E22BF">
        <w:t xml:space="preserve"> </w:t>
      </w:r>
    </w:p>
    <w:p w14:paraId="55CF5BFB" w14:textId="2E018DC1" w:rsidR="005B3156" w:rsidRDefault="005B3156" w:rsidP="00442CC4">
      <w:pPr>
        <w:pStyle w:val="2rove"/>
        <w:ind w:left="567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C37053">
      <w:pPr>
        <w:pStyle w:val="Nadpis1"/>
      </w:pPr>
      <w:r>
        <w:t>Změny podmínek smlouvy</w:t>
      </w:r>
    </w:p>
    <w:p w14:paraId="3F8984DB" w14:textId="77777777" w:rsidR="004E4E47" w:rsidRDefault="00D9597D" w:rsidP="00442CC4">
      <w:pPr>
        <w:pStyle w:val="2rove"/>
        <w:ind w:left="567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19BAA672" w14:textId="72F27127" w:rsidR="00D9597D" w:rsidRDefault="00747C54" w:rsidP="00C37053">
      <w:pPr>
        <w:pStyle w:val="3rove-trval"/>
      </w:pPr>
      <w:r>
        <w:t xml:space="preserve">změna adresy nebo </w:t>
      </w:r>
      <w:r w:rsidR="00D9597D" w:rsidRPr="00A960B0">
        <w:t>sídla příjemce</w:t>
      </w:r>
      <w:r w:rsidR="007A45A0">
        <w:t>,</w:t>
      </w:r>
    </w:p>
    <w:p w14:paraId="28901192" w14:textId="77777777" w:rsidR="00D9597D" w:rsidRDefault="00747C54" w:rsidP="00C37053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4A7AA250" w:rsidR="00D9597D" w:rsidRPr="00EB1154" w:rsidRDefault="00747C54" w:rsidP="00C37053">
      <w:pPr>
        <w:pStyle w:val="3rove-trval"/>
      </w:pPr>
      <w:r>
        <w:t>změna názvu příjemce</w:t>
      </w:r>
      <w:r w:rsidR="007A45A0">
        <w:t>,</w:t>
      </w:r>
    </w:p>
    <w:p w14:paraId="02717BA8" w14:textId="1A9227EE" w:rsidR="00747C54" w:rsidRDefault="007A45A0" w:rsidP="00C37053">
      <w:pPr>
        <w:pStyle w:val="3rove-trval"/>
      </w:pPr>
      <w:r>
        <w:t xml:space="preserve">změna názvu </w:t>
      </w:r>
      <w:r w:rsidR="00747C54">
        <w:t>projektu při zachování účelu a</w:t>
      </w:r>
      <w:r>
        <w:t xml:space="preserve"> všech ostatních parametrů </w:t>
      </w:r>
      <w:r w:rsidR="00747C54">
        <w:t>projektu,</w:t>
      </w:r>
    </w:p>
    <w:p w14:paraId="0F10FFA5" w14:textId="77777777" w:rsidR="00D9597D" w:rsidRDefault="00D9597D" w:rsidP="00C37053">
      <w:pPr>
        <w:pStyle w:val="3rove-trval"/>
      </w:pPr>
      <w:r w:rsidRPr="00A960B0">
        <w:t>změna zdrojů nebo výše podílů těchto zdrojů na financování projektu (s výjimkou dotace od Zlínského kraje)</w:t>
      </w:r>
      <w:r>
        <w:t>,</w:t>
      </w:r>
    </w:p>
    <w:p w14:paraId="1A2C1EBB" w14:textId="1C56EC74" w:rsidR="007A3EEB" w:rsidRDefault="007A3EEB" w:rsidP="00C37053">
      <w:pPr>
        <w:pStyle w:val="3rove-trval"/>
      </w:pPr>
      <w:r>
        <w:t xml:space="preserve">změna harmonogramu </w:t>
      </w:r>
      <w:r w:rsidR="003042E9">
        <w:t xml:space="preserve">doby </w:t>
      </w:r>
      <w:r>
        <w:t>realizace, akce nebo aktivity</w:t>
      </w:r>
      <w:r w:rsidR="008366B8" w:rsidRPr="008366B8">
        <w:t xml:space="preserve"> </w:t>
      </w:r>
      <w:r w:rsidR="008366B8">
        <w:t xml:space="preserve">(změnou harmonogramu nesmí dojít k překročení nejzazšího data </w:t>
      </w:r>
      <w:r w:rsidR="003042E9">
        <w:t xml:space="preserve">doby </w:t>
      </w:r>
      <w:r w:rsidR="008366B8">
        <w:t xml:space="preserve">realizace, akce nebo aktivity stanoveného ve </w:t>
      </w:r>
      <w:r w:rsidR="0088567B">
        <w:t xml:space="preserve">smlouvě </w:t>
      </w:r>
      <w:r w:rsidR="008366B8">
        <w:t xml:space="preserve">a podpora nebude vyplacena před termínem ukončení </w:t>
      </w:r>
      <w:r w:rsidR="003042E9">
        <w:t xml:space="preserve">doby </w:t>
      </w:r>
      <w:r w:rsidR="008366B8">
        <w:t>realizace, akce nebo aktivity)</w:t>
      </w:r>
      <w:r w:rsidR="007A45A0">
        <w:t>.</w:t>
      </w:r>
    </w:p>
    <w:p w14:paraId="47FDFC6B" w14:textId="77777777" w:rsidR="005651A6" w:rsidRDefault="005651A6" w:rsidP="00442CC4">
      <w:pPr>
        <w:pStyle w:val="2rove"/>
        <w:ind w:left="567"/>
      </w:pPr>
      <w:r>
        <w:t>Změnu bankovního spojení oznámí příjemce poskytova</w:t>
      </w:r>
      <w:r w:rsidR="007A3EEB">
        <w:t>teli písemně ve lhůtě do 15 dní ode dne, kdy ke změně došlo.</w:t>
      </w:r>
      <w:r w:rsidR="007A3EEB" w:rsidRPr="007A3EEB">
        <w:t xml:space="preserve"> </w:t>
      </w:r>
      <w:r w:rsidR="007A3EEB"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442CC4">
      <w:pPr>
        <w:pStyle w:val="2rove"/>
        <w:ind w:left="567"/>
      </w:pPr>
      <w:r>
        <w:t xml:space="preserve">V </w:t>
      </w:r>
      <w:r w:rsidRPr="001C3D21">
        <w:t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442CC4">
      <w:pPr>
        <w:pStyle w:val="2rove"/>
        <w:ind w:left="567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442CC4">
      <w:pPr>
        <w:pStyle w:val="2rove"/>
        <w:ind w:left="567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442CC4">
      <w:pPr>
        <w:pStyle w:val="2rove"/>
        <w:ind w:left="567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2321A0">
      <w:pPr>
        <w:pStyle w:val="3rove-trval"/>
      </w:pPr>
      <w:r>
        <w:t>nedodrží účel dotace,</w:t>
      </w:r>
    </w:p>
    <w:p w14:paraId="3B84C001" w14:textId="77D6DFB3" w:rsidR="00504796" w:rsidRDefault="00504796" w:rsidP="002321A0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0950DC14" w14:textId="17E2ABE1" w:rsidR="00A44BE2" w:rsidRDefault="00A44BE2" w:rsidP="002321A0">
      <w:pPr>
        <w:pStyle w:val="3rove-trval"/>
      </w:pPr>
      <w:r>
        <w:t>prohlášení příjemce dle čl. 5.9 se prokáže jako nepravdivé,</w:t>
      </w:r>
    </w:p>
    <w:p w14:paraId="6EC6B722" w14:textId="018072EC" w:rsidR="00504796" w:rsidRDefault="00504796" w:rsidP="002321A0">
      <w:pPr>
        <w:pStyle w:val="3rove-trval"/>
      </w:pPr>
      <w:r>
        <w:t>poruší pravidla veřejné podpory</w:t>
      </w:r>
      <w:r w:rsidR="00506961">
        <w:t xml:space="preserve"> zejména dle čl. 5.</w:t>
      </w:r>
      <w:r w:rsidR="00A44BE2">
        <w:t>10</w:t>
      </w:r>
      <w:r>
        <w:t>,</w:t>
      </w:r>
      <w:r w:rsidR="00EE4740">
        <w:t xml:space="preserve"> </w:t>
      </w:r>
    </w:p>
    <w:p w14:paraId="3CCBCD73" w14:textId="7BB48CE9" w:rsidR="00F50470" w:rsidRDefault="00F50470" w:rsidP="002321A0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77777777" w:rsidR="00504796" w:rsidRDefault="00504796" w:rsidP="002321A0">
      <w:pPr>
        <w:pStyle w:val="3rove-trval"/>
      </w:pPr>
      <w:r>
        <w:lastRenderedPageBreak/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2321A0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2321A0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2321A0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1B1348A4" w:rsidR="00504796" w:rsidRDefault="00504796" w:rsidP="002321A0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4DD6756C" w14:textId="7082728B" w:rsidR="00701EAB" w:rsidRDefault="00701EAB" w:rsidP="002321A0">
      <w:pPr>
        <w:pStyle w:val="3rove-trval"/>
      </w:pPr>
      <w:r>
        <w:t>podstatně nenaplní monitorovací indikátor dle čl. 3.2.</w:t>
      </w:r>
    </w:p>
    <w:p w14:paraId="20238DC4" w14:textId="77777777" w:rsidR="001C6112" w:rsidRDefault="00EC4D55" w:rsidP="00442CC4">
      <w:pPr>
        <w:pStyle w:val="2rove"/>
        <w:ind w:left="567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442CC4">
      <w:pPr>
        <w:pStyle w:val="2rove"/>
        <w:ind w:left="567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442CC4">
      <w:pPr>
        <w:pStyle w:val="2rove"/>
        <w:ind w:left="567"/>
      </w:pPr>
      <w:r w:rsidRPr="00BC32A3">
        <w:t>Výpověď smlouvy musí být učiněna písemně a musí v ní být uvedeny důvody jejího udělení.</w:t>
      </w:r>
    </w:p>
    <w:p w14:paraId="2EFC1858" w14:textId="1A2CFE15" w:rsidR="00EC4D55" w:rsidRDefault="00EC4D55" w:rsidP="00442CC4">
      <w:pPr>
        <w:pStyle w:val="2rove"/>
        <w:ind w:left="567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442CC4">
      <w:pPr>
        <w:pStyle w:val="2rove"/>
        <w:ind w:left="567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442CC4">
      <w:pPr>
        <w:pStyle w:val="2rove"/>
        <w:ind w:left="567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442CC4">
      <w:pPr>
        <w:pStyle w:val="2rove"/>
        <w:ind w:left="567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442CC4">
      <w:pPr>
        <w:pStyle w:val="2rove"/>
        <w:ind w:left="567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442CC4">
      <w:pPr>
        <w:pStyle w:val="2rove"/>
        <w:ind w:left="567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2321A0">
      <w:pPr>
        <w:pStyle w:val="Nadpis1"/>
      </w:pPr>
      <w:r>
        <w:t xml:space="preserve"> Závěrečná ustanovení</w:t>
      </w:r>
    </w:p>
    <w:p w14:paraId="2D7732BC" w14:textId="322030E1" w:rsidR="00EC4D55" w:rsidRDefault="00EC4D55" w:rsidP="00442CC4">
      <w:pPr>
        <w:pStyle w:val="2rove"/>
        <w:ind w:left="567"/>
      </w:pPr>
      <w:r w:rsidRPr="00EC4D55">
        <w:t>Jako kontaktní místo poskytovatele se pro účely této smlouvy stanovuje: Krajský úřad Zlínského kraje, odbor</w:t>
      </w:r>
      <w:r w:rsidR="007A45A0">
        <w:t> strategického rozvoje kraje</w:t>
      </w:r>
      <w:r w:rsidRPr="00EC4D55">
        <w:t>,</w:t>
      </w:r>
      <w:r w:rsidR="007A45A0">
        <w:t> Ing. Dana Koplíková</w:t>
      </w:r>
      <w:r w:rsidRPr="00EC4D55">
        <w:t>, tel.:</w:t>
      </w:r>
      <w:r w:rsidR="007A45A0">
        <w:t> 577 043 404</w:t>
      </w:r>
      <w:r>
        <w:t xml:space="preserve">, </w:t>
      </w:r>
      <w:r w:rsidRPr="00EC4D55">
        <w:t>e-mail:</w:t>
      </w:r>
      <w:r w:rsidR="007A45A0">
        <w:t> dana.koplikova</w:t>
      </w:r>
      <w:r w:rsidR="007A45A0">
        <w:rPr>
          <w:rFonts w:cs="Arial"/>
        </w:rPr>
        <w:t>@</w:t>
      </w:r>
      <w:r w:rsidR="007A45A0">
        <w:t>zlinsky</w:t>
      </w:r>
      <w:r w:rsidR="003D642F">
        <w:t>kraj</w:t>
      </w:r>
      <w:r w:rsidR="007A45A0">
        <w:t>.cz.</w:t>
      </w:r>
      <w:r w:rsidRPr="00EC4D55">
        <w:t xml:space="preserve"> </w:t>
      </w:r>
    </w:p>
    <w:p w14:paraId="0C7DCD02" w14:textId="77777777" w:rsidR="00EC4D55" w:rsidRDefault="00EC4D55" w:rsidP="00442CC4">
      <w:pPr>
        <w:pStyle w:val="2rove"/>
        <w:ind w:left="567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77777777" w:rsidR="00EC4D55" w:rsidRDefault="00EC4D55" w:rsidP="00442CC4">
      <w:pPr>
        <w:pStyle w:val="2rove"/>
        <w:ind w:left="567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2761E4B2" w:rsidR="00EC4D55" w:rsidRPr="00390111" w:rsidRDefault="00D41F70" w:rsidP="00442CC4">
      <w:pPr>
        <w:pStyle w:val="2rove"/>
        <w:ind w:left="567"/>
      </w:pPr>
      <w:r w:rsidRPr="00390111">
        <w:lastRenderedPageBreak/>
        <w:t>Smlouva je uzavřena elektronicky</w:t>
      </w:r>
      <w:r w:rsidR="00EC4D55" w:rsidRPr="00390111">
        <w:t>.</w:t>
      </w:r>
    </w:p>
    <w:p w14:paraId="197971F9" w14:textId="7842497A" w:rsidR="00EC4D55" w:rsidRDefault="00EC4D55" w:rsidP="00442CC4">
      <w:pPr>
        <w:pStyle w:val="2rove"/>
        <w:ind w:left="567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2321A0">
        <w:t> </w:t>
      </w:r>
      <w:r w:rsidRPr="00BC32A3">
        <w:t>uveřejnění smlouvy bude p</w:t>
      </w:r>
      <w:r w:rsidR="007A45A0">
        <w:t>říjemce bezodkladně informován.</w:t>
      </w:r>
    </w:p>
    <w:p w14:paraId="63160ED5" w14:textId="76843357" w:rsidR="00F75253" w:rsidRDefault="00F75253" w:rsidP="00442CC4">
      <w:pPr>
        <w:pStyle w:val="2rove"/>
        <w:ind w:left="567"/>
      </w:pPr>
      <w:r w:rsidRPr="00BC32A3">
        <w:t>Tat</w:t>
      </w:r>
      <w:r w:rsidR="007A45A0">
        <w:t xml:space="preserve">o smlouva nabývá účinnosti </w:t>
      </w:r>
      <w:r w:rsidRPr="00BC32A3">
        <w:t>dn</w:t>
      </w:r>
      <w:r w:rsidR="007A45A0">
        <w:t>em zveřejnění v registru smluv.</w:t>
      </w:r>
    </w:p>
    <w:p w14:paraId="21C27625" w14:textId="77777777" w:rsidR="00153489" w:rsidRDefault="00153489" w:rsidP="007A45A0">
      <w:pPr>
        <w:pStyle w:val="2rove"/>
        <w:numPr>
          <w:ilvl w:val="0"/>
          <w:numId w:val="0"/>
        </w:numPr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4F28DAB5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7A45A0">
        <w:rPr>
          <w:rFonts w:cs="Arial"/>
          <w:szCs w:val="20"/>
        </w:rPr>
        <w:t> </w:t>
      </w:r>
      <w:r w:rsidR="001E6D95">
        <w:rPr>
          <w:rFonts w:cs="Arial"/>
          <w:szCs w:val="20"/>
        </w:rPr>
        <w:t>Rada</w:t>
      </w:r>
      <w:r w:rsidR="003D642F">
        <w:rPr>
          <w:rFonts w:cs="Arial"/>
          <w:szCs w:val="20"/>
        </w:rPr>
        <w:t xml:space="preserve"> </w:t>
      </w:r>
      <w:r w:rsidR="007A45A0">
        <w:rPr>
          <w:rFonts w:cs="Arial"/>
          <w:szCs w:val="20"/>
        </w:rPr>
        <w:t>Zlínského kraje</w:t>
      </w:r>
    </w:p>
    <w:p w14:paraId="4F7A8297" w14:textId="439AD92B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7A45A0">
        <w:rPr>
          <w:rFonts w:cs="Arial"/>
          <w:szCs w:val="20"/>
        </w:rPr>
        <w:t> </w:t>
      </w:r>
      <w:r w:rsidR="00A44C24">
        <w:rPr>
          <w:rFonts w:cs="Arial"/>
          <w:szCs w:val="20"/>
        </w:rPr>
        <w:t>3</w:t>
      </w:r>
      <w:r w:rsidR="00495199">
        <w:rPr>
          <w:rFonts w:cs="Arial"/>
          <w:szCs w:val="20"/>
        </w:rPr>
        <w:t xml:space="preserve">. </w:t>
      </w:r>
      <w:r w:rsidR="00A44C24">
        <w:rPr>
          <w:rFonts w:cs="Arial"/>
          <w:szCs w:val="20"/>
        </w:rPr>
        <w:t>6</w:t>
      </w:r>
      <w:r w:rsidR="00495199">
        <w:rPr>
          <w:rFonts w:cs="Arial"/>
          <w:szCs w:val="20"/>
        </w:rPr>
        <w:t>. 202</w:t>
      </w:r>
      <w:r w:rsidR="001E6D95">
        <w:rPr>
          <w:rFonts w:cs="Arial"/>
          <w:szCs w:val="20"/>
        </w:rPr>
        <w:t>4</w:t>
      </w:r>
      <w:r w:rsidR="007A45A0">
        <w:rPr>
          <w:rFonts w:cs="Arial"/>
          <w:szCs w:val="20"/>
        </w:rPr>
        <w:t>, č. u</w:t>
      </w:r>
      <w:r w:rsidR="008A16E6">
        <w:rPr>
          <w:rFonts w:cs="Arial"/>
          <w:szCs w:val="20"/>
        </w:rPr>
        <w:t xml:space="preserve">snesení: </w:t>
      </w:r>
      <w:r w:rsidR="00153489">
        <w:rPr>
          <w:rFonts w:cs="Arial"/>
          <w:szCs w:val="20"/>
        </w:rPr>
        <w:t>0</w:t>
      </w:r>
      <w:r w:rsidR="00A44C24">
        <w:rPr>
          <w:rFonts w:cs="Arial"/>
          <w:szCs w:val="20"/>
        </w:rPr>
        <w:t>544</w:t>
      </w:r>
      <w:r w:rsidR="00153489">
        <w:rPr>
          <w:rFonts w:cs="Arial"/>
          <w:szCs w:val="20"/>
        </w:rPr>
        <w:t>/</w:t>
      </w:r>
      <w:r w:rsidR="004303B0">
        <w:rPr>
          <w:rFonts w:cs="Arial"/>
          <w:szCs w:val="20"/>
        </w:rPr>
        <w:t>R</w:t>
      </w:r>
      <w:r w:rsidR="00A44C24">
        <w:rPr>
          <w:rFonts w:cs="Arial"/>
          <w:szCs w:val="20"/>
        </w:rPr>
        <w:t>14</w:t>
      </w:r>
      <w:r w:rsidR="00153489">
        <w:rPr>
          <w:rFonts w:cs="Arial"/>
          <w:szCs w:val="20"/>
        </w:rPr>
        <w:t>/2</w:t>
      </w:r>
      <w:r w:rsidR="004303B0">
        <w:rPr>
          <w:rFonts w:cs="Arial"/>
          <w:szCs w:val="20"/>
        </w:rPr>
        <w:t>4</w:t>
      </w:r>
    </w:p>
    <w:p w14:paraId="48168C15" w14:textId="6306DDF5" w:rsidR="00477E80" w:rsidRPr="00F75253" w:rsidRDefault="00477E80" w:rsidP="00E82920">
      <w:pPr>
        <w:pStyle w:val="Hlavntextlnksmlouvy"/>
        <w:numPr>
          <w:ilvl w:val="0"/>
          <w:numId w:val="0"/>
        </w:numPr>
        <w:spacing w:line="276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ADF21BB" w14:textId="72A06479" w:rsidR="00142A67" w:rsidRDefault="00294BCE" w:rsidP="00E82920">
            <w:pPr>
              <w:spacing w:line="276" w:lineRule="auto"/>
            </w:pPr>
            <w:r w:rsidRPr="00390111">
              <w:t>Zkontroloval:</w:t>
            </w:r>
            <w:r>
              <w:t xml:space="preserve"> </w:t>
            </w:r>
            <w:r w:rsidR="00C92F0F">
              <w:t>XXXXXXXXXXXXX</w:t>
            </w:r>
          </w:p>
          <w:p w14:paraId="5C863E4C" w14:textId="77777777" w:rsidR="00153489" w:rsidRDefault="00153489" w:rsidP="00E82920">
            <w:pPr>
              <w:spacing w:line="276" w:lineRule="auto"/>
            </w:pPr>
          </w:p>
          <w:p w14:paraId="5634D529" w14:textId="77777777" w:rsidR="00390111" w:rsidRDefault="00390111" w:rsidP="00E82920">
            <w:pPr>
              <w:spacing w:line="276" w:lineRule="auto"/>
            </w:pPr>
          </w:p>
          <w:p w14:paraId="1197B7AC" w14:textId="0DBE9DEE" w:rsidR="00142A67" w:rsidRDefault="00AB638D" w:rsidP="00E82920">
            <w:pPr>
              <w:spacing w:line="276" w:lineRule="auto"/>
            </w:pPr>
            <w:r>
              <w:t>Ve Zlíně dne 1.7.2024</w:t>
            </w:r>
          </w:p>
          <w:p w14:paraId="100D5DB2" w14:textId="771C5B27" w:rsidR="006A4FA0" w:rsidRDefault="006A4FA0" w:rsidP="002C3214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25FBEE6E" w14:textId="77777777" w:rsidR="00142A67" w:rsidRDefault="00142A67" w:rsidP="008A16E6">
            <w:pPr>
              <w:spacing w:line="276" w:lineRule="auto"/>
            </w:pPr>
          </w:p>
          <w:p w14:paraId="76125009" w14:textId="2D6D239C" w:rsidR="00142A67" w:rsidRDefault="00142A67" w:rsidP="008A16E6">
            <w:pPr>
              <w:spacing w:line="276" w:lineRule="auto"/>
            </w:pPr>
          </w:p>
          <w:p w14:paraId="4EFBD497" w14:textId="77777777" w:rsidR="002C3214" w:rsidRDefault="002C3214" w:rsidP="008A16E6">
            <w:pPr>
              <w:spacing w:line="276" w:lineRule="auto"/>
            </w:pPr>
          </w:p>
          <w:p w14:paraId="6BD02E02" w14:textId="173F1CCA" w:rsidR="006A4FA0" w:rsidRDefault="00AB638D" w:rsidP="002C3214">
            <w:pPr>
              <w:spacing w:line="276" w:lineRule="auto"/>
            </w:pPr>
            <w:r>
              <w:t>Ve Zlíně dne 12.6.2024</w:t>
            </w:r>
          </w:p>
        </w:tc>
      </w:tr>
      <w:tr w:rsidR="006A4FA0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7D4E9725" w14:textId="77777777" w:rsidR="006A4FA0" w:rsidRDefault="006A4FA0" w:rsidP="00E82920">
            <w:pPr>
              <w:spacing w:line="276" w:lineRule="auto"/>
            </w:pPr>
          </w:p>
          <w:p w14:paraId="43A93E02" w14:textId="77777777" w:rsidR="007A45A0" w:rsidRDefault="007A45A0" w:rsidP="00E82920">
            <w:pPr>
              <w:spacing w:line="276" w:lineRule="auto"/>
            </w:pPr>
          </w:p>
          <w:p w14:paraId="378A53BB" w14:textId="7208E5A1" w:rsidR="007A45A0" w:rsidRDefault="00C92F0F" w:rsidP="00E82920">
            <w:pPr>
              <w:spacing w:line="276" w:lineRule="auto"/>
            </w:pPr>
            <w:r>
              <w:t>XXXXXXXXXXXXXXXXXXX</w:t>
            </w:r>
          </w:p>
          <w:p w14:paraId="0B03C875" w14:textId="6FDD278B" w:rsidR="007A45A0" w:rsidRDefault="007A45A0" w:rsidP="004303B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32E82003" w14:textId="77777777" w:rsidR="006A4FA0" w:rsidRDefault="006A4FA0" w:rsidP="00E82920">
            <w:pPr>
              <w:spacing w:line="276" w:lineRule="auto"/>
            </w:pPr>
          </w:p>
          <w:p w14:paraId="5D2AE82D" w14:textId="18E05969" w:rsidR="002C3214" w:rsidRDefault="002C3214" w:rsidP="00E82920">
            <w:pPr>
              <w:spacing w:line="276" w:lineRule="auto"/>
            </w:pPr>
          </w:p>
          <w:p w14:paraId="2B2DF9AC" w14:textId="0579C233" w:rsidR="002C3214" w:rsidRDefault="00C92F0F" w:rsidP="00E82920">
            <w:pPr>
              <w:spacing w:line="276" w:lineRule="auto"/>
            </w:pPr>
            <w:r>
              <w:t>XXXXXXXXXXXXXXXXXXXXX</w:t>
            </w:r>
          </w:p>
        </w:tc>
      </w:tr>
      <w:tr w:rsidR="006A4FA0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4A8B7457" w14:textId="77777777" w:rsidR="00BE2D62" w:rsidRDefault="007A45A0" w:rsidP="008A16E6">
            <w:pPr>
              <w:spacing w:line="276" w:lineRule="auto"/>
            </w:pPr>
            <w:r>
              <w:t>Ing. Radim Holiš</w:t>
            </w:r>
            <w:r w:rsidR="006A2C40">
              <w:t xml:space="preserve">, </w:t>
            </w:r>
          </w:p>
          <w:p w14:paraId="2EDC7A34" w14:textId="15110F7A" w:rsidR="006A4FA0" w:rsidRDefault="006A4FA0" w:rsidP="008A16E6">
            <w:pPr>
              <w:spacing w:line="276" w:lineRule="auto"/>
            </w:pPr>
            <w:r>
              <w:t xml:space="preserve">hejtman </w:t>
            </w:r>
          </w:p>
        </w:tc>
        <w:tc>
          <w:tcPr>
            <w:tcW w:w="4531" w:type="dxa"/>
            <w:vAlign w:val="center"/>
          </w:tcPr>
          <w:p w14:paraId="63664735" w14:textId="184B4B2B" w:rsidR="004303B0" w:rsidRDefault="00C50972" w:rsidP="008A16E6">
            <w:pPr>
              <w:spacing w:line="276" w:lineRule="auto"/>
            </w:pPr>
            <w:r>
              <w:t>Renata Brázdilová</w:t>
            </w:r>
            <w:r w:rsidR="0006132C">
              <w:t>,</w:t>
            </w:r>
          </w:p>
          <w:p w14:paraId="198191DC" w14:textId="4C72915D" w:rsidR="006A4FA0" w:rsidRDefault="00C50972" w:rsidP="008A16E6">
            <w:pPr>
              <w:spacing w:line="276" w:lineRule="auto"/>
            </w:pPr>
            <w:r>
              <w:t>na základě plné moci</w:t>
            </w:r>
          </w:p>
        </w:tc>
      </w:tr>
    </w:tbl>
    <w:p w14:paraId="1F223B23" w14:textId="77777777" w:rsidR="00971B6C" w:rsidRDefault="00971B6C" w:rsidP="00E82920">
      <w:pPr>
        <w:pStyle w:val="Hlavntextlnksmlouvy"/>
        <w:numPr>
          <w:ilvl w:val="0"/>
          <w:numId w:val="0"/>
        </w:numPr>
        <w:spacing w:line="276" w:lineRule="auto"/>
        <w:ind w:left="142"/>
      </w:pPr>
    </w:p>
    <w:sectPr w:rsidR="00971B6C" w:rsidSect="00581A1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1D026" w14:textId="77777777" w:rsidR="00581A11" w:rsidRDefault="00581A11" w:rsidP="00324D78">
      <w:pPr>
        <w:spacing w:after="0" w:line="240" w:lineRule="auto"/>
      </w:pPr>
      <w:r>
        <w:separator/>
      </w:r>
    </w:p>
  </w:endnote>
  <w:endnote w:type="continuationSeparator" w:id="0">
    <w:p w14:paraId="3C1B3235" w14:textId="77777777" w:rsidR="00581A11" w:rsidRDefault="00581A11" w:rsidP="00324D78">
      <w:pPr>
        <w:spacing w:after="0" w:line="240" w:lineRule="auto"/>
      </w:pPr>
      <w:r>
        <w:continuationSeparator/>
      </w:r>
    </w:p>
  </w:endnote>
  <w:endnote w:type="continuationNotice" w:id="1">
    <w:p w14:paraId="1B0D0B01" w14:textId="77777777" w:rsidR="00581A11" w:rsidRDefault="00581A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224BFE90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7A1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7A1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30D3A" w14:textId="77777777" w:rsidR="00581A11" w:rsidRDefault="00581A11" w:rsidP="00324D78">
      <w:pPr>
        <w:spacing w:after="0" w:line="240" w:lineRule="auto"/>
      </w:pPr>
      <w:r>
        <w:separator/>
      </w:r>
    </w:p>
  </w:footnote>
  <w:footnote w:type="continuationSeparator" w:id="0">
    <w:p w14:paraId="6FE2C8A7" w14:textId="77777777" w:rsidR="00581A11" w:rsidRDefault="00581A11" w:rsidP="00324D78">
      <w:pPr>
        <w:spacing w:after="0" w:line="240" w:lineRule="auto"/>
      </w:pPr>
      <w:r>
        <w:continuationSeparator/>
      </w:r>
    </w:p>
  </w:footnote>
  <w:footnote w:type="continuationNotice" w:id="1">
    <w:p w14:paraId="19F2E5B2" w14:textId="77777777" w:rsidR="00581A11" w:rsidRDefault="00581A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1560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884953842">
    <w:abstractNumId w:val="2"/>
  </w:num>
  <w:num w:numId="2" w16cid:durableId="577639142">
    <w:abstractNumId w:val="4"/>
  </w:num>
  <w:num w:numId="3" w16cid:durableId="1406606439">
    <w:abstractNumId w:val="2"/>
  </w:num>
  <w:num w:numId="4" w16cid:durableId="238952855">
    <w:abstractNumId w:val="2"/>
  </w:num>
  <w:num w:numId="5" w16cid:durableId="1262572530">
    <w:abstractNumId w:val="2"/>
  </w:num>
  <w:num w:numId="6" w16cid:durableId="787890188">
    <w:abstractNumId w:val="2"/>
  </w:num>
  <w:num w:numId="7" w16cid:durableId="1791971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9454792">
    <w:abstractNumId w:val="2"/>
  </w:num>
  <w:num w:numId="9" w16cid:durableId="1178351276">
    <w:abstractNumId w:val="2"/>
  </w:num>
  <w:num w:numId="10" w16cid:durableId="79304015">
    <w:abstractNumId w:val="2"/>
  </w:num>
  <w:num w:numId="11" w16cid:durableId="1072964075">
    <w:abstractNumId w:val="2"/>
  </w:num>
  <w:num w:numId="12" w16cid:durableId="1910112507">
    <w:abstractNumId w:val="0"/>
  </w:num>
  <w:num w:numId="13" w16cid:durableId="380715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555622993">
    <w:abstractNumId w:val="3"/>
  </w:num>
  <w:num w:numId="15" w16cid:durableId="599486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3041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8196265">
    <w:abstractNumId w:val="2"/>
  </w:num>
  <w:num w:numId="18" w16cid:durableId="80370449">
    <w:abstractNumId w:val="2"/>
  </w:num>
  <w:num w:numId="19" w16cid:durableId="1359965309">
    <w:abstractNumId w:val="2"/>
  </w:num>
  <w:num w:numId="20" w16cid:durableId="651444911">
    <w:abstractNumId w:val="1"/>
  </w:num>
  <w:num w:numId="21" w16cid:durableId="993681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132A3"/>
    <w:rsid w:val="00013EEE"/>
    <w:rsid w:val="000228C3"/>
    <w:rsid w:val="000316B3"/>
    <w:rsid w:val="0003487A"/>
    <w:rsid w:val="000417D8"/>
    <w:rsid w:val="0005319A"/>
    <w:rsid w:val="0005501A"/>
    <w:rsid w:val="0006132C"/>
    <w:rsid w:val="00067A3D"/>
    <w:rsid w:val="00077168"/>
    <w:rsid w:val="000856C7"/>
    <w:rsid w:val="00090713"/>
    <w:rsid w:val="00095DF0"/>
    <w:rsid w:val="00097AA1"/>
    <w:rsid w:val="000A6E68"/>
    <w:rsid w:val="000B0AC2"/>
    <w:rsid w:val="000B11E0"/>
    <w:rsid w:val="000B548F"/>
    <w:rsid w:val="000B72F8"/>
    <w:rsid w:val="000B7FE5"/>
    <w:rsid w:val="000C3952"/>
    <w:rsid w:val="000C5740"/>
    <w:rsid w:val="000D31A2"/>
    <w:rsid w:val="000D502E"/>
    <w:rsid w:val="000E7D0E"/>
    <w:rsid w:val="000F686B"/>
    <w:rsid w:val="00114376"/>
    <w:rsid w:val="00116E6A"/>
    <w:rsid w:val="00123AD3"/>
    <w:rsid w:val="00126170"/>
    <w:rsid w:val="00130E23"/>
    <w:rsid w:val="00136A61"/>
    <w:rsid w:val="001422DD"/>
    <w:rsid w:val="00142A67"/>
    <w:rsid w:val="0014635F"/>
    <w:rsid w:val="00153489"/>
    <w:rsid w:val="001575B6"/>
    <w:rsid w:val="00165E3A"/>
    <w:rsid w:val="001727DF"/>
    <w:rsid w:val="0017738B"/>
    <w:rsid w:val="00177FB1"/>
    <w:rsid w:val="00185DE1"/>
    <w:rsid w:val="001A2B06"/>
    <w:rsid w:val="001A555B"/>
    <w:rsid w:val="001A5BEC"/>
    <w:rsid w:val="001C4D9E"/>
    <w:rsid w:val="001C58F1"/>
    <w:rsid w:val="001C6112"/>
    <w:rsid w:val="001D227C"/>
    <w:rsid w:val="001E11F1"/>
    <w:rsid w:val="001E22BF"/>
    <w:rsid w:val="001E55EA"/>
    <w:rsid w:val="001E5A62"/>
    <w:rsid w:val="001E6D95"/>
    <w:rsid w:val="001F53B9"/>
    <w:rsid w:val="00201A4D"/>
    <w:rsid w:val="00202E65"/>
    <w:rsid w:val="002031A5"/>
    <w:rsid w:val="002065FF"/>
    <w:rsid w:val="00211237"/>
    <w:rsid w:val="00214E04"/>
    <w:rsid w:val="00220F80"/>
    <w:rsid w:val="00222CBA"/>
    <w:rsid w:val="00223423"/>
    <w:rsid w:val="002321A0"/>
    <w:rsid w:val="002413BD"/>
    <w:rsid w:val="00251DFE"/>
    <w:rsid w:val="00253134"/>
    <w:rsid w:val="00254F2A"/>
    <w:rsid w:val="00256275"/>
    <w:rsid w:val="002563AC"/>
    <w:rsid w:val="00281988"/>
    <w:rsid w:val="00282F08"/>
    <w:rsid w:val="00285631"/>
    <w:rsid w:val="00287043"/>
    <w:rsid w:val="00294BCE"/>
    <w:rsid w:val="002A0B26"/>
    <w:rsid w:val="002A56F2"/>
    <w:rsid w:val="002B066D"/>
    <w:rsid w:val="002B1861"/>
    <w:rsid w:val="002B1A10"/>
    <w:rsid w:val="002B4723"/>
    <w:rsid w:val="002B5AD7"/>
    <w:rsid w:val="002B71C7"/>
    <w:rsid w:val="002C00E2"/>
    <w:rsid w:val="002C3214"/>
    <w:rsid w:val="002C5090"/>
    <w:rsid w:val="002D215A"/>
    <w:rsid w:val="002D5655"/>
    <w:rsid w:val="002D6BD1"/>
    <w:rsid w:val="002F259A"/>
    <w:rsid w:val="002F711D"/>
    <w:rsid w:val="003042E9"/>
    <w:rsid w:val="00306C0D"/>
    <w:rsid w:val="0030743E"/>
    <w:rsid w:val="00313590"/>
    <w:rsid w:val="00313DE9"/>
    <w:rsid w:val="00324D78"/>
    <w:rsid w:val="0032745C"/>
    <w:rsid w:val="00335A34"/>
    <w:rsid w:val="00340702"/>
    <w:rsid w:val="00340B35"/>
    <w:rsid w:val="00352EBD"/>
    <w:rsid w:val="00357941"/>
    <w:rsid w:val="0036448F"/>
    <w:rsid w:val="003659F7"/>
    <w:rsid w:val="003666F4"/>
    <w:rsid w:val="00373C3D"/>
    <w:rsid w:val="00374AE6"/>
    <w:rsid w:val="00374DED"/>
    <w:rsid w:val="00376A53"/>
    <w:rsid w:val="00381A8A"/>
    <w:rsid w:val="00383971"/>
    <w:rsid w:val="00390111"/>
    <w:rsid w:val="003A2B2E"/>
    <w:rsid w:val="003A399C"/>
    <w:rsid w:val="003A4326"/>
    <w:rsid w:val="003B25BD"/>
    <w:rsid w:val="003B4183"/>
    <w:rsid w:val="003B4F68"/>
    <w:rsid w:val="003C4D8A"/>
    <w:rsid w:val="003D0D19"/>
    <w:rsid w:val="003D35B4"/>
    <w:rsid w:val="003D4418"/>
    <w:rsid w:val="003D642F"/>
    <w:rsid w:val="003D6684"/>
    <w:rsid w:val="003D6A1A"/>
    <w:rsid w:val="003D7EC4"/>
    <w:rsid w:val="003E3BE0"/>
    <w:rsid w:val="003E3DF1"/>
    <w:rsid w:val="003F1035"/>
    <w:rsid w:val="00412219"/>
    <w:rsid w:val="004131ED"/>
    <w:rsid w:val="004303B0"/>
    <w:rsid w:val="00430948"/>
    <w:rsid w:val="00432A5A"/>
    <w:rsid w:val="004340C5"/>
    <w:rsid w:val="004365DE"/>
    <w:rsid w:val="00441B3B"/>
    <w:rsid w:val="00442CC4"/>
    <w:rsid w:val="00444289"/>
    <w:rsid w:val="00446303"/>
    <w:rsid w:val="004530F7"/>
    <w:rsid w:val="00454C62"/>
    <w:rsid w:val="00470B93"/>
    <w:rsid w:val="00477E80"/>
    <w:rsid w:val="00482A8A"/>
    <w:rsid w:val="00485683"/>
    <w:rsid w:val="004872A7"/>
    <w:rsid w:val="004942FC"/>
    <w:rsid w:val="00495199"/>
    <w:rsid w:val="00496893"/>
    <w:rsid w:val="004A3A15"/>
    <w:rsid w:val="004A49A2"/>
    <w:rsid w:val="004B189C"/>
    <w:rsid w:val="004B6331"/>
    <w:rsid w:val="004B661E"/>
    <w:rsid w:val="004D3ECF"/>
    <w:rsid w:val="004D67D0"/>
    <w:rsid w:val="004D7E38"/>
    <w:rsid w:val="004E4E47"/>
    <w:rsid w:val="004F068F"/>
    <w:rsid w:val="004F1656"/>
    <w:rsid w:val="00501904"/>
    <w:rsid w:val="00504796"/>
    <w:rsid w:val="00506961"/>
    <w:rsid w:val="005069B4"/>
    <w:rsid w:val="005160EE"/>
    <w:rsid w:val="00516C51"/>
    <w:rsid w:val="00524DE4"/>
    <w:rsid w:val="005269E1"/>
    <w:rsid w:val="00530D1A"/>
    <w:rsid w:val="005405D6"/>
    <w:rsid w:val="0056114B"/>
    <w:rsid w:val="005651A6"/>
    <w:rsid w:val="00567CAC"/>
    <w:rsid w:val="005803A9"/>
    <w:rsid w:val="00581A11"/>
    <w:rsid w:val="0058284A"/>
    <w:rsid w:val="00584FAF"/>
    <w:rsid w:val="00585B3F"/>
    <w:rsid w:val="00586C8E"/>
    <w:rsid w:val="00592774"/>
    <w:rsid w:val="005A7B54"/>
    <w:rsid w:val="005B1088"/>
    <w:rsid w:val="005B3156"/>
    <w:rsid w:val="005C0FC8"/>
    <w:rsid w:val="005C3F37"/>
    <w:rsid w:val="005C5366"/>
    <w:rsid w:val="005D09F2"/>
    <w:rsid w:val="005F5EF1"/>
    <w:rsid w:val="006033A0"/>
    <w:rsid w:val="00610168"/>
    <w:rsid w:val="006120A4"/>
    <w:rsid w:val="006128F2"/>
    <w:rsid w:val="006137BD"/>
    <w:rsid w:val="00620363"/>
    <w:rsid w:val="006235C2"/>
    <w:rsid w:val="00626FA3"/>
    <w:rsid w:val="00637A13"/>
    <w:rsid w:val="00641673"/>
    <w:rsid w:val="00663A3B"/>
    <w:rsid w:val="00664E5A"/>
    <w:rsid w:val="00674C5D"/>
    <w:rsid w:val="0067509E"/>
    <w:rsid w:val="00693C73"/>
    <w:rsid w:val="006A2C40"/>
    <w:rsid w:val="006A39C7"/>
    <w:rsid w:val="006A4FA0"/>
    <w:rsid w:val="006C5F18"/>
    <w:rsid w:val="006E48D9"/>
    <w:rsid w:val="006E606E"/>
    <w:rsid w:val="006F0A9F"/>
    <w:rsid w:val="00701EAB"/>
    <w:rsid w:val="00703656"/>
    <w:rsid w:val="0071018E"/>
    <w:rsid w:val="007235CF"/>
    <w:rsid w:val="00736E24"/>
    <w:rsid w:val="00740741"/>
    <w:rsid w:val="00747C54"/>
    <w:rsid w:val="00760945"/>
    <w:rsid w:val="00760CA0"/>
    <w:rsid w:val="00766DAA"/>
    <w:rsid w:val="0077026D"/>
    <w:rsid w:val="00771A67"/>
    <w:rsid w:val="00794512"/>
    <w:rsid w:val="007A3EEB"/>
    <w:rsid w:val="007A45A0"/>
    <w:rsid w:val="007B1390"/>
    <w:rsid w:val="007B16C0"/>
    <w:rsid w:val="007B258A"/>
    <w:rsid w:val="007C01EB"/>
    <w:rsid w:val="007C1859"/>
    <w:rsid w:val="007C2258"/>
    <w:rsid w:val="007C33AF"/>
    <w:rsid w:val="007C73DB"/>
    <w:rsid w:val="007D123B"/>
    <w:rsid w:val="007D786E"/>
    <w:rsid w:val="007E1791"/>
    <w:rsid w:val="007E297F"/>
    <w:rsid w:val="007F3815"/>
    <w:rsid w:val="008024B4"/>
    <w:rsid w:val="00807DFC"/>
    <w:rsid w:val="00813520"/>
    <w:rsid w:val="00814D21"/>
    <w:rsid w:val="0081603D"/>
    <w:rsid w:val="0081667A"/>
    <w:rsid w:val="008209BF"/>
    <w:rsid w:val="00827567"/>
    <w:rsid w:val="00836085"/>
    <w:rsid w:val="008366B8"/>
    <w:rsid w:val="008414F3"/>
    <w:rsid w:val="00846F07"/>
    <w:rsid w:val="00856014"/>
    <w:rsid w:val="00860737"/>
    <w:rsid w:val="00864DD2"/>
    <w:rsid w:val="00867936"/>
    <w:rsid w:val="00870EEC"/>
    <w:rsid w:val="0087162C"/>
    <w:rsid w:val="00882AD8"/>
    <w:rsid w:val="0088567B"/>
    <w:rsid w:val="008861B6"/>
    <w:rsid w:val="00887BFA"/>
    <w:rsid w:val="00890E4B"/>
    <w:rsid w:val="00895D5E"/>
    <w:rsid w:val="00897DB0"/>
    <w:rsid w:val="008A16E6"/>
    <w:rsid w:val="008A6407"/>
    <w:rsid w:val="008B3CAE"/>
    <w:rsid w:val="008C4DA9"/>
    <w:rsid w:val="008C55EA"/>
    <w:rsid w:val="008D0B91"/>
    <w:rsid w:val="008D1EBC"/>
    <w:rsid w:val="008D2BF4"/>
    <w:rsid w:val="008D374D"/>
    <w:rsid w:val="008E0F4D"/>
    <w:rsid w:val="008E75C2"/>
    <w:rsid w:val="008E7B6E"/>
    <w:rsid w:val="009021DC"/>
    <w:rsid w:val="0090423F"/>
    <w:rsid w:val="00911D65"/>
    <w:rsid w:val="009139D6"/>
    <w:rsid w:val="00921CB8"/>
    <w:rsid w:val="00927879"/>
    <w:rsid w:val="00930026"/>
    <w:rsid w:val="00941959"/>
    <w:rsid w:val="009465C0"/>
    <w:rsid w:val="009514A5"/>
    <w:rsid w:val="009609DE"/>
    <w:rsid w:val="009631A7"/>
    <w:rsid w:val="00963551"/>
    <w:rsid w:val="00971B6C"/>
    <w:rsid w:val="009726C2"/>
    <w:rsid w:val="0098759E"/>
    <w:rsid w:val="00990D91"/>
    <w:rsid w:val="0099201B"/>
    <w:rsid w:val="009954FF"/>
    <w:rsid w:val="009A1660"/>
    <w:rsid w:val="009A7B68"/>
    <w:rsid w:val="009B704A"/>
    <w:rsid w:val="009C5298"/>
    <w:rsid w:val="009C62B9"/>
    <w:rsid w:val="009D62F9"/>
    <w:rsid w:val="009D6548"/>
    <w:rsid w:val="009D6635"/>
    <w:rsid w:val="009E1319"/>
    <w:rsid w:val="009E1DBD"/>
    <w:rsid w:val="009E455A"/>
    <w:rsid w:val="00A03A9E"/>
    <w:rsid w:val="00A11E59"/>
    <w:rsid w:val="00A1365B"/>
    <w:rsid w:val="00A16779"/>
    <w:rsid w:val="00A231C0"/>
    <w:rsid w:val="00A233FD"/>
    <w:rsid w:val="00A31FB1"/>
    <w:rsid w:val="00A33037"/>
    <w:rsid w:val="00A35B90"/>
    <w:rsid w:val="00A439DD"/>
    <w:rsid w:val="00A44BE2"/>
    <w:rsid w:val="00A44C24"/>
    <w:rsid w:val="00A517D6"/>
    <w:rsid w:val="00A64E56"/>
    <w:rsid w:val="00A66CDB"/>
    <w:rsid w:val="00A75A68"/>
    <w:rsid w:val="00A80396"/>
    <w:rsid w:val="00A80611"/>
    <w:rsid w:val="00A954DB"/>
    <w:rsid w:val="00A96CAC"/>
    <w:rsid w:val="00A97F25"/>
    <w:rsid w:val="00AB01C1"/>
    <w:rsid w:val="00AB4AFB"/>
    <w:rsid w:val="00AB638D"/>
    <w:rsid w:val="00AD41BD"/>
    <w:rsid w:val="00AF403C"/>
    <w:rsid w:val="00AF5496"/>
    <w:rsid w:val="00AF6183"/>
    <w:rsid w:val="00B007CA"/>
    <w:rsid w:val="00B01E0F"/>
    <w:rsid w:val="00B036EE"/>
    <w:rsid w:val="00B0484D"/>
    <w:rsid w:val="00B06107"/>
    <w:rsid w:val="00B06852"/>
    <w:rsid w:val="00B06E1D"/>
    <w:rsid w:val="00B21DB2"/>
    <w:rsid w:val="00B24D28"/>
    <w:rsid w:val="00B43670"/>
    <w:rsid w:val="00B4664B"/>
    <w:rsid w:val="00B56AC2"/>
    <w:rsid w:val="00B57038"/>
    <w:rsid w:val="00B60582"/>
    <w:rsid w:val="00B64E1E"/>
    <w:rsid w:val="00B7467E"/>
    <w:rsid w:val="00B7485C"/>
    <w:rsid w:val="00B81CDB"/>
    <w:rsid w:val="00B87855"/>
    <w:rsid w:val="00B936D3"/>
    <w:rsid w:val="00B96A00"/>
    <w:rsid w:val="00BB186F"/>
    <w:rsid w:val="00BB1F5D"/>
    <w:rsid w:val="00BB7418"/>
    <w:rsid w:val="00BD1A8B"/>
    <w:rsid w:val="00BD2867"/>
    <w:rsid w:val="00BD6C23"/>
    <w:rsid w:val="00BD792D"/>
    <w:rsid w:val="00BE049C"/>
    <w:rsid w:val="00BE199A"/>
    <w:rsid w:val="00BE1FEE"/>
    <w:rsid w:val="00BE2D62"/>
    <w:rsid w:val="00BE451E"/>
    <w:rsid w:val="00BF1854"/>
    <w:rsid w:val="00BF23F2"/>
    <w:rsid w:val="00C069A0"/>
    <w:rsid w:val="00C201D2"/>
    <w:rsid w:val="00C23F57"/>
    <w:rsid w:val="00C2411B"/>
    <w:rsid w:val="00C276DF"/>
    <w:rsid w:val="00C306FE"/>
    <w:rsid w:val="00C37053"/>
    <w:rsid w:val="00C41132"/>
    <w:rsid w:val="00C50972"/>
    <w:rsid w:val="00C512DA"/>
    <w:rsid w:val="00C605F9"/>
    <w:rsid w:val="00C62A7D"/>
    <w:rsid w:val="00C64D04"/>
    <w:rsid w:val="00C658A0"/>
    <w:rsid w:val="00C66338"/>
    <w:rsid w:val="00C70342"/>
    <w:rsid w:val="00C7203C"/>
    <w:rsid w:val="00C736EB"/>
    <w:rsid w:val="00C807DB"/>
    <w:rsid w:val="00C81F2E"/>
    <w:rsid w:val="00C834D7"/>
    <w:rsid w:val="00C904AF"/>
    <w:rsid w:val="00C90528"/>
    <w:rsid w:val="00C92705"/>
    <w:rsid w:val="00C92F0F"/>
    <w:rsid w:val="00C93792"/>
    <w:rsid w:val="00C9519B"/>
    <w:rsid w:val="00CA6054"/>
    <w:rsid w:val="00CB1B5B"/>
    <w:rsid w:val="00CB57BD"/>
    <w:rsid w:val="00CB78A2"/>
    <w:rsid w:val="00CC6CBC"/>
    <w:rsid w:val="00CD15CD"/>
    <w:rsid w:val="00CD2022"/>
    <w:rsid w:val="00CD2C76"/>
    <w:rsid w:val="00CD6632"/>
    <w:rsid w:val="00CD6F2A"/>
    <w:rsid w:val="00CE1DC5"/>
    <w:rsid w:val="00CF1BA0"/>
    <w:rsid w:val="00CF1D37"/>
    <w:rsid w:val="00CF3007"/>
    <w:rsid w:val="00CF3AEF"/>
    <w:rsid w:val="00D0470B"/>
    <w:rsid w:val="00D067FC"/>
    <w:rsid w:val="00D11E31"/>
    <w:rsid w:val="00D125C5"/>
    <w:rsid w:val="00D143CD"/>
    <w:rsid w:val="00D3683D"/>
    <w:rsid w:val="00D41F70"/>
    <w:rsid w:val="00D449CF"/>
    <w:rsid w:val="00D509A5"/>
    <w:rsid w:val="00D53684"/>
    <w:rsid w:val="00D62653"/>
    <w:rsid w:val="00D62FDD"/>
    <w:rsid w:val="00D64AB1"/>
    <w:rsid w:val="00D65F4F"/>
    <w:rsid w:val="00D71B4B"/>
    <w:rsid w:val="00D77279"/>
    <w:rsid w:val="00D81B61"/>
    <w:rsid w:val="00D81DAF"/>
    <w:rsid w:val="00D81E06"/>
    <w:rsid w:val="00D86174"/>
    <w:rsid w:val="00D87383"/>
    <w:rsid w:val="00D9597D"/>
    <w:rsid w:val="00DA1C29"/>
    <w:rsid w:val="00DB0265"/>
    <w:rsid w:val="00DB2509"/>
    <w:rsid w:val="00DC297B"/>
    <w:rsid w:val="00DE1A8D"/>
    <w:rsid w:val="00DE5507"/>
    <w:rsid w:val="00DE64D6"/>
    <w:rsid w:val="00DE6568"/>
    <w:rsid w:val="00DE6C50"/>
    <w:rsid w:val="00DE70AD"/>
    <w:rsid w:val="00E11474"/>
    <w:rsid w:val="00E14143"/>
    <w:rsid w:val="00E14690"/>
    <w:rsid w:val="00E204AB"/>
    <w:rsid w:val="00E24859"/>
    <w:rsid w:val="00E26389"/>
    <w:rsid w:val="00E271D6"/>
    <w:rsid w:val="00E35B80"/>
    <w:rsid w:val="00E52928"/>
    <w:rsid w:val="00E57923"/>
    <w:rsid w:val="00E65C08"/>
    <w:rsid w:val="00E80EA9"/>
    <w:rsid w:val="00E81330"/>
    <w:rsid w:val="00E82920"/>
    <w:rsid w:val="00E83D5F"/>
    <w:rsid w:val="00E84126"/>
    <w:rsid w:val="00E8594B"/>
    <w:rsid w:val="00E86D26"/>
    <w:rsid w:val="00E94339"/>
    <w:rsid w:val="00EA1D72"/>
    <w:rsid w:val="00EA26E7"/>
    <w:rsid w:val="00EA2F97"/>
    <w:rsid w:val="00EA3F99"/>
    <w:rsid w:val="00EB1154"/>
    <w:rsid w:val="00EC1FBB"/>
    <w:rsid w:val="00EC2305"/>
    <w:rsid w:val="00EC4D55"/>
    <w:rsid w:val="00ED32A1"/>
    <w:rsid w:val="00ED4B32"/>
    <w:rsid w:val="00EE2AE8"/>
    <w:rsid w:val="00EE3182"/>
    <w:rsid w:val="00EE4740"/>
    <w:rsid w:val="00EE7942"/>
    <w:rsid w:val="00EF08BC"/>
    <w:rsid w:val="00EF21F6"/>
    <w:rsid w:val="00EF3515"/>
    <w:rsid w:val="00EF3631"/>
    <w:rsid w:val="00F13C74"/>
    <w:rsid w:val="00F14EAD"/>
    <w:rsid w:val="00F158CC"/>
    <w:rsid w:val="00F17028"/>
    <w:rsid w:val="00F25057"/>
    <w:rsid w:val="00F26AF6"/>
    <w:rsid w:val="00F351E6"/>
    <w:rsid w:val="00F3780D"/>
    <w:rsid w:val="00F40D13"/>
    <w:rsid w:val="00F43D0C"/>
    <w:rsid w:val="00F475C1"/>
    <w:rsid w:val="00F50470"/>
    <w:rsid w:val="00F575F2"/>
    <w:rsid w:val="00F65F24"/>
    <w:rsid w:val="00F67AB4"/>
    <w:rsid w:val="00F71A22"/>
    <w:rsid w:val="00F75253"/>
    <w:rsid w:val="00F82245"/>
    <w:rsid w:val="00F8398D"/>
    <w:rsid w:val="00F90976"/>
    <w:rsid w:val="00F92A23"/>
    <w:rsid w:val="00F968A9"/>
    <w:rsid w:val="00FA0573"/>
    <w:rsid w:val="00FA2B5F"/>
    <w:rsid w:val="00FA3071"/>
    <w:rsid w:val="00FB0E5C"/>
    <w:rsid w:val="00FB265A"/>
    <w:rsid w:val="00FC1D25"/>
    <w:rsid w:val="00FC2E44"/>
    <w:rsid w:val="00FD1DA8"/>
    <w:rsid w:val="00FE0BEF"/>
    <w:rsid w:val="00FE669F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6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milan.filip@zlinskykraj.cz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B76213FDEAFD4181A5F40D908FDE9A" ma:contentTypeVersion="10" ma:contentTypeDescription="Vytvoří nový dokument" ma:contentTypeScope="" ma:versionID="86122633d7ec6a6abbd784a1d7ecba3a">
  <xsd:schema xmlns:xsd="http://www.w3.org/2001/XMLSchema" xmlns:xs="http://www.w3.org/2001/XMLSchema" xmlns:p="http://schemas.microsoft.com/office/2006/metadata/properties" xmlns:ns3="30943acb-92a3-4dd1-b917-142a704ae2ed" targetNamespace="http://schemas.microsoft.com/office/2006/metadata/properties" ma:root="true" ma:fieldsID="81cbaa68a0697ca7c3b78a5da736069b" ns3:_="">
    <xsd:import namespace="30943acb-92a3-4dd1-b917-142a704ae2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43acb-92a3-4dd1-b917-142a704ae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5C0E9-40C0-466D-8CCF-76E624F67C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CE3A78-7521-40FF-B5E8-2C260FC96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43acb-92a3-4dd1-b917-142a704ae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394</TotalTime>
  <Pages>8</Pages>
  <Words>3631</Words>
  <Characters>21423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Koplíková Dana</cp:lastModifiedBy>
  <cp:revision>113</cp:revision>
  <cp:lastPrinted>2022-12-05T08:02:00Z</cp:lastPrinted>
  <dcterms:created xsi:type="dcterms:W3CDTF">2022-12-05T08:03:00Z</dcterms:created>
  <dcterms:modified xsi:type="dcterms:W3CDTF">2024-07-02T06:58:00Z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0x0101008BB76213FDEAFD4181A5F40D908FDE9A</vt:lpwstr>
  </property>
</Properties>
</file>