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5211200035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Komárov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685"/>
        <w:jc w:val="left"/>
      </w:pPr>
      <w:r>
        <w:rPr/>
        <w:t>kontaktní adresa:</w:t>
        <w:tab/>
        <w:t>Úřad</w:t>
      </w:r>
      <w:r>
        <w:rPr>
          <w:spacing w:val="-6"/>
        </w:rPr>
        <w:t> </w:t>
      </w:r>
      <w:r>
        <w:rPr/>
        <w:t>městyse</w:t>
      </w:r>
      <w:r>
        <w:rPr>
          <w:spacing w:val="-6"/>
        </w:rPr>
        <w:t> </w:t>
      </w:r>
      <w:r>
        <w:rPr/>
        <w:t>Komárov,</w:t>
      </w:r>
      <w:r>
        <w:rPr>
          <w:spacing w:val="-4"/>
        </w:rPr>
        <w:t> </w:t>
      </w:r>
      <w:r>
        <w:rPr/>
        <w:t>nám.</w:t>
      </w:r>
      <w:r>
        <w:rPr>
          <w:spacing w:val="-6"/>
        </w:rPr>
        <w:t> </w:t>
      </w:r>
      <w:r>
        <w:rPr/>
        <w:t>Míru</w:t>
      </w:r>
      <w:r>
        <w:rPr>
          <w:spacing w:val="-5"/>
        </w:rPr>
        <w:t> </w:t>
      </w:r>
      <w:r>
        <w:rPr/>
        <w:t>204,</w:t>
      </w:r>
      <w:r>
        <w:rPr>
          <w:spacing w:val="-4"/>
        </w:rPr>
        <w:t> </w:t>
      </w:r>
      <w:r>
        <w:rPr/>
        <w:t>267</w:t>
      </w:r>
      <w:r>
        <w:rPr>
          <w:spacing w:val="-5"/>
        </w:rPr>
        <w:t> </w:t>
      </w:r>
      <w:r>
        <w:rPr/>
        <w:t>62</w:t>
      </w:r>
      <w:r>
        <w:rPr>
          <w:spacing w:val="-5"/>
        </w:rPr>
        <w:t> </w:t>
      </w:r>
      <w:r>
        <w:rPr/>
        <w:t>Komárov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00233382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zastoupený:</w:t>
      </w:r>
      <w:r>
        <w:rPr/>
        <w:tab/>
        <w:t>Jaroslavem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l e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7712131/0710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5211200035 o poskytnutí finančních prostředků ze Státního fondu životního prostředí ČR ze dne 19.</w:t>
      </w:r>
      <w:r>
        <w:rPr>
          <w:spacing w:val="-2"/>
        </w:rPr>
        <w:t> </w:t>
      </w:r>
      <w:r>
        <w:rPr/>
        <w:t>7.</w:t>
      </w:r>
      <w:r>
        <w:rPr>
          <w:spacing w:val="-2"/>
        </w:rPr>
        <w:t> </w:t>
      </w:r>
      <w:r>
        <w:rPr/>
        <w:t>2022, ve znění změny č. 1 ze</w:t>
      </w:r>
      <w:r>
        <w:rPr>
          <w:spacing w:val="9"/>
        </w:rPr>
        <w:t> </w:t>
      </w:r>
      <w:r>
        <w:rPr/>
        <w:t>dne</w:t>
      </w:r>
      <w:r>
        <w:rPr>
          <w:spacing w:val="9"/>
        </w:rPr>
        <w:t> </w:t>
      </w:r>
      <w:r>
        <w:rPr/>
        <w:t>12.</w:t>
      </w:r>
      <w:r>
        <w:rPr>
          <w:spacing w:val="10"/>
        </w:rPr>
        <w:t> </w:t>
      </w:r>
      <w:r>
        <w:rPr/>
        <w:t>4.</w:t>
      </w:r>
      <w:r>
        <w:rPr>
          <w:spacing w:val="10"/>
        </w:rPr>
        <w:t> </w:t>
      </w:r>
      <w:r>
        <w:rPr/>
        <w:t>2023,</w:t>
      </w:r>
      <w:r>
        <w:rPr>
          <w:spacing w:val="10"/>
        </w:rPr>
        <w:t> </w:t>
      </w:r>
      <w:r>
        <w:rPr/>
        <w:t>změny</w:t>
      </w:r>
      <w:r>
        <w:rPr>
          <w:spacing w:val="12"/>
        </w:rPr>
        <w:t> </w:t>
      </w:r>
      <w:r>
        <w:rPr/>
        <w:t>č.</w:t>
      </w:r>
      <w:r>
        <w:rPr>
          <w:spacing w:val="10"/>
        </w:rPr>
        <w:t> </w:t>
      </w:r>
      <w:r>
        <w:rPr/>
        <w:t>2</w:t>
      </w:r>
      <w:r>
        <w:rPr>
          <w:spacing w:val="10"/>
        </w:rPr>
        <w:t> </w:t>
      </w:r>
      <w:r>
        <w:rPr/>
        <w:t>ze</w:t>
      </w:r>
      <w:r>
        <w:rPr>
          <w:spacing w:val="9"/>
        </w:rPr>
        <w:t> </w:t>
      </w:r>
      <w:r>
        <w:rPr/>
        <w:t>dne</w:t>
      </w:r>
      <w:r>
        <w:rPr>
          <w:spacing w:val="9"/>
        </w:rPr>
        <w:t> </w:t>
      </w:r>
      <w:r>
        <w:rPr/>
        <w:t>7.</w:t>
      </w:r>
      <w:r>
        <w:rPr>
          <w:spacing w:val="10"/>
        </w:rPr>
        <w:t> </w:t>
      </w:r>
      <w:r>
        <w:rPr/>
        <w:t>6.</w:t>
      </w:r>
      <w:r>
        <w:rPr>
          <w:spacing w:val="10"/>
        </w:rPr>
        <w:t> </w:t>
      </w:r>
      <w:r>
        <w:rPr/>
        <w:t>2024</w:t>
      </w:r>
      <w:r>
        <w:rPr>
          <w:spacing w:val="15"/>
        </w:rPr>
        <w:t> </w:t>
      </w:r>
      <w:r>
        <w:rPr/>
        <w:t>a</w:t>
      </w:r>
      <w:r>
        <w:rPr>
          <w:spacing w:val="9"/>
        </w:rPr>
        <w:t> </w:t>
      </w:r>
      <w:r>
        <w:rPr/>
        <w:t>Směrnice</w:t>
      </w:r>
      <w:r>
        <w:rPr>
          <w:spacing w:val="9"/>
        </w:rPr>
        <w:t> </w:t>
      </w:r>
      <w:r>
        <w:rPr/>
        <w:t>Ministerstva</w:t>
      </w:r>
      <w:r>
        <w:rPr>
          <w:spacing w:val="11"/>
        </w:rPr>
        <w:t> </w:t>
      </w:r>
      <w:r>
        <w:rPr/>
        <w:t>životního</w:t>
      </w:r>
      <w:r>
        <w:rPr>
          <w:spacing w:val="10"/>
        </w:rPr>
        <w:t> </w:t>
      </w:r>
      <w:r>
        <w:rPr/>
        <w:t>prostředí</w:t>
      </w:r>
      <w:r>
        <w:rPr>
          <w:spacing w:val="12"/>
        </w:rPr>
        <w:t> </w:t>
      </w:r>
      <w:r>
        <w:rPr/>
        <w:t>č.</w:t>
      </w:r>
      <w:r>
        <w:rPr>
          <w:spacing w:val="10"/>
        </w:rPr>
        <w:t> </w:t>
      </w:r>
      <w:r>
        <w:rPr/>
        <w:t>4/2015 o poskytování finančních prostředků ze Státního fondu životního prostředí České republiky prostřednictvím</w:t>
      </w:r>
      <w:r>
        <w:rPr>
          <w:spacing w:val="-1"/>
        </w:rPr>
        <w:t> </w:t>
      </w:r>
      <w:r>
        <w:rPr/>
        <w:t>Národního</w:t>
      </w:r>
      <w:r>
        <w:rPr>
          <w:spacing w:val="-1"/>
        </w:rPr>
        <w:t> </w:t>
      </w:r>
      <w:r>
        <w:rPr/>
        <w:t>programu</w:t>
      </w:r>
      <w:r>
        <w:rPr>
          <w:spacing w:val="-2"/>
        </w:rPr>
        <w:t> </w:t>
      </w:r>
      <w:r>
        <w:rPr/>
        <w:t>Životní</w:t>
      </w:r>
      <w:r>
        <w:rPr>
          <w:spacing w:val="-2"/>
        </w:rPr>
        <w:t> </w:t>
      </w:r>
      <w:r>
        <w:rPr/>
        <w:t>prostředí 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„Směrnice</w:t>
      </w:r>
      <w:r>
        <w:rPr>
          <w:spacing w:val="-3"/>
        </w:rPr>
        <w:t> </w:t>
      </w:r>
      <w:r>
        <w:rPr/>
        <w:t>MŽP“), platné</w:t>
      </w:r>
      <w:r>
        <w:rPr>
          <w:spacing w:val="-3"/>
        </w:rPr>
        <w:t> </w:t>
      </w:r>
      <w:r>
        <w:rPr/>
        <w:t>ke</w:t>
      </w:r>
      <w:r>
        <w:rPr>
          <w:spacing w:val="-3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25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165"/>
        <w:jc w:val="left"/>
      </w:pPr>
      <w:r>
        <w:rPr/>
        <w:t>„Energetická</w:t>
      </w:r>
      <w:r>
        <w:rPr>
          <w:spacing w:val="-8"/>
        </w:rPr>
        <w:t> </w:t>
      </w:r>
      <w:r>
        <w:rPr/>
        <w:t>optimalizace</w:t>
      </w:r>
      <w:r>
        <w:rPr>
          <w:spacing w:val="-7"/>
        </w:rPr>
        <w:t> </w:t>
      </w:r>
      <w:r>
        <w:rPr/>
        <w:t>objektu</w:t>
      </w:r>
      <w:r>
        <w:rPr>
          <w:spacing w:val="-8"/>
        </w:rPr>
        <w:t> </w:t>
      </w:r>
      <w:r>
        <w:rPr/>
        <w:t>muzea</w:t>
      </w:r>
      <w:r>
        <w:rPr>
          <w:spacing w:val="-8"/>
        </w:rPr>
        <w:t> </w:t>
      </w:r>
      <w:r>
        <w:rPr/>
        <w:t>v</w:t>
      </w:r>
      <w:r>
        <w:rPr>
          <w:spacing w:val="-8"/>
        </w:rPr>
        <w:t> </w:t>
      </w:r>
      <w:r>
        <w:rPr/>
        <w:t>Městysi</w:t>
      </w:r>
      <w:r>
        <w:rPr>
          <w:spacing w:val="-7"/>
        </w:rPr>
        <w:t> </w:t>
      </w:r>
      <w:r>
        <w:rPr>
          <w:spacing w:val="-2"/>
        </w:rPr>
        <w:t>Komárov“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224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602,53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left="741"/>
      </w:pPr>
      <w:r>
        <w:rPr/>
        <w:t>čtyři</w:t>
      </w:r>
      <w:r>
        <w:rPr>
          <w:spacing w:val="-5"/>
        </w:rPr>
        <w:t> </w:t>
      </w:r>
      <w:r>
        <w:rPr/>
        <w:t>miliony</w:t>
      </w:r>
      <w:r>
        <w:rPr>
          <w:spacing w:val="-6"/>
        </w:rPr>
        <w:t> </w:t>
      </w: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7"/>
        </w:rPr>
        <w:t> </w:t>
      </w:r>
      <w:r>
        <w:rPr/>
        <w:t>dvacet</w:t>
      </w:r>
      <w:r>
        <w:rPr>
          <w:spacing w:val="-3"/>
        </w:rPr>
        <w:t> </w:t>
      </w:r>
      <w:r>
        <w:rPr/>
        <w:t>čtyři</w:t>
      </w:r>
      <w:r>
        <w:rPr>
          <w:spacing w:val="-4"/>
        </w:rPr>
        <w:t> </w:t>
      </w:r>
      <w:r>
        <w:rPr/>
        <w:t>tisíc</w:t>
      </w:r>
      <w:r>
        <w:rPr>
          <w:spacing w:val="-2"/>
        </w:rPr>
        <w:t> </w:t>
      </w:r>
      <w:r>
        <w:rPr/>
        <w:t>šest</w:t>
      </w:r>
      <w:r>
        <w:rPr>
          <w:spacing w:val="-6"/>
        </w:rPr>
        <w:t> </w:t>
      </w:r>
      <w:r>
        <w:rPr/>
        <w:t>set</w:t>
      </w:r>
      <w:r>
        <w:rPr>
          <w:spacing w:val="-5"/>
        </w:rPr>
        <w:t> </w:t>
      </w:r>
      <w:r>
        <w:rPr/>
        <w:t>dva</w:t>
      </w:r>
      <w:r>
        <w:rPr>
          <w:spacing w:val="-5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6"/>
        </w:rPr>
        <w:t> </w:t>
      </w:r>
      <w:r>
        <w:rPr/>
        <w:t>padesát</w:t>
      </w:r>
      <w:r>
        <w:rPr>
          <w:spacing w:val="-5"/>
        </w:rPr>
        <w:t> </w:t>
      </w:r>
      <w:r>
        <w:rPr/>
        <w:t>tři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6 499 388,52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74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5523"/>
      </w:tblGrid>
      <w:tr>
        <w:trPr>
          <w:trHeight w:val="506" w:hRule="atLeast"/>
        </w:trPr>
        <w:tc>
          <w:tcPr>
            <w:tcW w:w="3267" w:type="dxa"/>
          </w:tcPr>
          <w:p>
            <w:pPr>
              <w:pStyle w:val="TableParagraph"/>
              <w:spacing w:before="120"/>
              <w:ind w:left="1339" w:right="1332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523" w:type="dxa"/>
          </w:tcPr>
          <w:p>
            <w:pPr>
              <w:pStyle w:val="TableParagraph"/>
              <w:spacing w:before="120"/>
              <w:ind w:left="2181" w:right="2177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3267" w:type="dxa"/>
          </w:tcPr>
          <w:p>
            <w:pPr>
              <w:pStyle w:val="TableParagraph"/>
              <w:spacing w:before="120"/>
              <w:ind w:left="1338" w:right="133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523" w:type="dxa"/>
          </w:tcPr>
          <w:p>
            <w:pPr>
              <w:pStyle w:val="TableParagraph"/>
              <w:spacing w:before="120"/>
              <w:ind w:left="2186" w:right="217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602,53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25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16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20" w:hanging="281"/>
        <w:jc w:val="both"/>
        <w:rPr>
          <w:sz w:val="20"/>
        </w:rPr>
      </w:pPr>
      <w:r>
        <w:rPr>
          <w:sz w:val="20"/>
        </w:rPr>
        <w:t>dojde k</w:t>
      </w:r>
      <w:r>
        <w:rPr>
          <w:spacing w:val="-3"/>
          <w:sz w:val="20"/>
        </w:rPr>
        <w:t> </w:t>
      </w:r>
      <w:r>
        <w:rPr>
          <w:sz w:val="20"/>
        </w:rPr>
        <w:t>zateplení obvodového pláště budovy, výměně otvorových výplní a výměně zdroje pro </w:t>
      </w:r>
      <w:r>
        <w:rPr>
          <w:spacing w:val="-2"/>
          <w:sz w:val="20"/>
        </w:rPr>
        <w:t>vytápění,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1678"/>
        <w:gridCol w:w="1880"/>
        <w:gridCol w:w="1750"/>
      </w:tblGrid>
      <w:tr>
        <w:trPr>
          <w:trHeight w:val="506" w:hRule="atLeast"/>
        </w:trPr>
        <w:tc>
          <w:tcPr>
            <w:tcW w:w="3521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výkon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MWt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</w:tr>
      <w:tr>
        <w:trPr>
          <w:trHeight w:val="506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97.05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30.82</w:t>
            </w:r>
          </w:p>
        </w:tc>
      </w:tr>
      <w:tr>
        <w:trPr>
          <w:trHeight w:val="505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571.49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396.32</w:t>
            </w:r>
          </w:p>
        </w:tc>
      </w:tr>
      <w:tr>
        <w:trPr>
          <w:trHeight w:val="530" w:hRule="atLeast"/>
        </w:trPr>
        <w:tc>
          <w:tcPr>
            <w:tcW w:w="3521" w:type="dxa"/>
          </w:tcPr>
          <w:p>
            <w:pPr>
              <w:pStyle w:val="TableParagraph"/>
              <w:spacing w:line="264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1280.16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414.77</w:t>
            </w:r>
          </w:p>
        </w:tc>
      </w:tr>
      <w:tr>
        <w:trPr>
          <w:trHeight w:val="508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tepelné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95.10</w:t>
            </w:r>
          </w:p>
        </w:tc>
      </w:tr>
    </w:tbl>
    <w:p>
      <w:pPr>
        <w:pStyle w:val="BodyText"/>
        <w:ind w:left="0"/>
        <w:jc w:val="left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6"/>
          <w:sz w:val="20"/>
        </w:rPr>
        <w:t> </w:t>
      </w:r>
      <w:r>
        <w:rPr>
          <w:sz w:val="20"/>
        </w:rPr>
        <w:t>tzv.</w:t>
      </w:r>
      <w:r>
        <w:rPr>
          <w:spacing w:val="-4"/>
          <w:sz w:val="20"/>
        </w:rPr>
        <w:t> </w:t>
      </w:r>
      <w:r>
        <w:rPr>
          <w:sz w:val="20"/>
        </w:rPr>
        <w:t>dvojímu</w:t>
      </w:r>
      <w:r>
        <w:rPr>
          <w:spacing w:val="-5"/>
          <w:sz w:val="20"/>
        </w:rPr>
        <w:t> </w:t>
      </w:r>
      <w:r>
        <w:rPr>
          <w:sz w:val="20"/>
        </w:rPr>
        <w:t>financování,</w:t>
      </w:r>
      <w:r>
        <w:rPr>
          <w:spacing w:val="-5"/>
          <w:sz w:val="20"/>
        </w:rPr>
        <w:t> </w:t>
      </w:r>
      <w:r>
        <w:rPr>
          <w:sz w:val="20"/>
        </w:rPr>
        <w:t>tj.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5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k)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285" w:val="left" w:leader="none"/>
          <w:tab w:pos="286" w:val="left" w:leader="none"/>
        </w:tabs>
        <w:spacing w:line="240" w:lineRule="auto" w:before="120" w:after="0"/>
        <w:ind w:left="285" w:right="116" w:hanging="286"/>
        <w:jc w:val="right"/>
        <w:rPr>
          <w:sz w:val="20"/>
        </w:rPr>
      </w:pPr>
      <w:r>
        <w:rPr>
          <w:sz w:val="20"/>
        </w:rPr>
        <w:t>termín</w:t>
      </w:r>
      <w:r>
        <w:rPr>
          <w:spacing w:val="37"/>
          <w:sz w:val="20"/>
        </w:rPr>
        <w:t> </w:t>
      </w:r>
      <w:r>
        <w:rPr>
          <w:sz w:val="20"/>
        </w:rPr>
        <w:t>dokončení</w:t>
      </w:r>
      <w:r>
        <w:rPr>
          <w:spacing w:val="37"/>
          <w:sz w:val="20"/>
        </w:rPr>
        <w:t> </w:t>
      </w:r>
      <w:r>
        <w:rPr>
          <w:sz w:val="20"/>
        </w:rPr>
        <w:t>akce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41"/>
          <w:sz w:val="20"/>
        </w:rPr>
        <w:t> </w:t>
      </w:r>
      <w:r>
        <w:rPr>
          <w:sz w:val="20"/>
        </w:rPr>
        <w:t>konce</w:t>
      </w:r>
      <w:r>
        <w:rPr>
          <w:spacing w:val="40"/>
          <w:sz w:val="20"/>
        </w:rPr>
        <w:t> </w:t>
      </w:r>
      <w:r>
        <w:rPr>
          <w:sz w:val="20"/>
        </w:rPr>
        <w:t>11/2024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8"/>
          <w:sz w:val="20"/>
        </w:rPr>
        <w:t> </w:t>
      </w:r>
      <w:r>
        <w:rPr>
          <w:sz w:val="20"/>
        </w:rPr>
        <w:t>dodržení</w:t>
      </w:r>
      <w:r>
        <w:rPr>
          <w:spacing w:val="38"/>
          <w:sz w:val="20"/>
        </w:rPr>
        <w:t> </w:t>
      </w:r>
      <w:r>
        <w:rPr>
          <w:sz w:val="20"/>
        </w:rPr>
        <w:t>tohoto</w:t>
      </w:r>
      <w:r>
        <w:rPr>
          <w:spacing w:val="38"/>
          <w:sz w:val="20"/>
        </w:rPr>
        <w:t> </w:t>
      </w:r>
      <w:r>
        <w:rPr>
          <w:sz w:val="20"/>
        </w:rPr>
        <w:t>termínu</w:t>
      </w:r>
      <w:r>
        <w:rPr>
          <w:spacing w:val="37"/>
          <w:sz w:val="20"/>
        </w:rPr>
        <w:t> </w:t>
      </w:r>
      <w:r>
        <w:rPr>
          <w:sz w:val="20"/>
        </w:rPr>
        <w:t>Fond</w:t>
      </w:r>
      <w:r>
        <w:rPr>
          <w:spacing w:val="38"/>
          <w:sz w:val="20"/>
        </w:rPr>
        <w:t> </w:t>
      </w:r>
      <w:r>
        <w:rPr>
          <w:sz w:val="20"/>
        </w:rPr>
        <w:t>bez</w:t>
      </w:r>
      <w:r>
        <w:rPr>
          <w:spacing w:val="38"/>
          <w:sz w:val="20"/>
        </w:rPr>
        <w:t> </w:t>
      </w:r>
      <w:r>
        <w:rPr>
          <w:spacing w:val="-2"/>
          <w:sz w:val="20"/>
        </w:rPr>
        <w:t>zbytečného</w:t>
      </w:r>
    </w:p>
    <w:p>
      <w:pPr>
        <w:pStyle w:val="BodyText"/>
        <w:ind w:left="0" w:right="115"/>
        <w:jc w:val="right"/>
      </w:pPr>
      <w:r>
        <w:rPr>
          <w:w w:val="95"/>
        </w:rPr>
        <w:t>odkladu</w:t>
      </w:r>
      <w:r>
        <w:rPr>
          <w:spacing w:val="15"/>
        </w:rPr>
        <w:t> </w:t>
      </w:r>
      <w:r>
        <w:rPr>
          <w:w w:val="95"/>
        </w:rPr>
        <w:t>informovat</w:t>
      </w:r>
      <w:r>
        <w:rPr>
          <w:spacing w:val="15"/>
        </w:rPr>
        <w:t> </w:t>
      </w:r>
      <w:r>
        <w:rPr>
          <w:w w:val="95"/>
        </w:rPr>
        <w:t>(termínem</w:t>
      </w:r>
      <w:r>
        <w:rPr>
          <w:spacing w:val="16"/>
        </w:rPr>
        <w:t> </w:t>
      </w:r>
      <w:r>
        <w:rPr>
          <w:w w:val="95"/>
        </w:rPr>
        <w:t>dokončení</w:t>
      </w:r>
      <w:r>
        <w:rPr>
          <w:spacing w:val="14"/>
        </w:rPr>
        <w:t> </w:t>
      </w:r>
      <w:r>
        <w:rPr>
          <w:w w:val="95"/>
        </w:rPr>
        <w:t>akce</w:t>
      </w:r>
      <w:r>
        <w:rPr>
          <w:spacing w:val="13"/>
        </w:rPr>
        <w:t> </w:t>
      </w:r>
      <w:r>
        <w:rPr>
          <w:w w:val="95"/>
        </w:rPr>
        <w:t>se</w:t>
      </w:r>
      <w:r>
        <w:rPr>
          <w:spacing w:val="12"/>
        </w:rPr>
        <w:t> </w:t>
      </w:r>
      <w:r>
        <w:rPr>
          <w:w w:val="95"/>
        </w:rPr>
        <w:t>rozumí</w:t>
      </w:r>
      <w:r>
        <w:rPr>
          <w:spacing w:val="15"/>
        </w:rPr>
        <w:t> </w:t>
      </w:r>
      <w:r>
        <w:rPr>
          <w:w w:val="95"/>
        </w:rPr>
        <w:t>datum</w:t>
      </w:r>
      <w:r>
        <w:rPr>
          <w:spacing w:val="17"/>
        </w:rPr>
        <w:t> </w:t>
      </w:r>
      <w:r>
        <w:rPr>
          <w:w w:val="95"/>
        </w:rPr>
        <w:t>uvedení</w:t>
      </w:r>
      <w:r>
        <w:rPr>
          <w:spacing w:val="14"/>
        </w:rPr>
        <w:t> </w:t>
      </w:r>
      <w:r>
        <w:rPr>
          <w:w w:val="95"/>
        </w:rPr>
        <w:t>stavby</w:t>
      </w:r>
      <w:r>
        <w:rPr>
          <w:spacing w:val="15"/>
        </w:rPr>
        <w:t> </w:t>
      </w:r>
      <w:r>
        <w:rPr>
          <w:w w:val="95"/>
        </w:rPr>
        <w:t>k</w:t>
      </w:r>
      <w:r>
        <w:rPr>
          <w:spacing w:val="14"/>
        </w:rPr>
        <w:t> </w:t>
      </w:r>
      <w:r>
        <w:rPr>
          <w:w w:val="95"/>
        </w:rPr>
        <w:t>trvalému</w:t>
      </w:r>
      <w:r>
        <w:rPr>
          <w:spacing w:val="14"/>
        </w:rPr>
        <w:t> </w:t>
      </w:r>
      <w:r>
        <w:rPr>
          <w:spacing w:val="-2"/>
          <w:w w:val="95"/>
        </w:rPr>
        <w:t>provozu,</w:t>
      </w:r>
    </w:p>
    <w:p>
      <w:pPr>
        <w:spacing w:after="0"/>
        <w:jc w:val="right"/>
        <w:sectPr>
          <w:type w:val="continuous"/>
          <w:pgSz w:w="12240" w:h="15840"/>
          <w:pgMar w:header="0" w:footer="1425" w:top="1060" w:bottom="1620" w:left="1320" w:right="1020"/>
        </w:sectPr>
      </w:pPr>
    </w:p>
    <w:p>
      <w:pPr>
        <w:pStyle w:val="BodyText"/>
        <w:spacing w:before="73"/>
        <w:ind w:left="1063" w:right="115"/>
      </w:pPr>
      <w:r>
        <w:rPr/>
        <w:t>v</w:t>
      </w:r>
      <w:r>
        <w:rPr>
          <w:spacing w:val="16"/>
        </w:rPr>
        <w:t> </w:t>
      </w:r>
      <w:r>
        <w:rPr/>
        <w:t>souladu</w:t>
      </w:r>
      <w:r>
        <w:rPr>
          <w:spacing w:val="18"/>
        </w:rPr>
        <w:t> </w:t>
      </w:r>
      <w:r>
        <w:rPr/>
        <w:t>se</w:t>
      </w:r>
      <w:r>
        <w:rPr>
          <w:spacing w:val="14"/>
        </w:rPr>
        <w:t> </w:t>
      </w:r>
      <w:r>
        <w:rPr/>
        <w:t>zákonem</w:t>
      </w:r>
      <w:r>
        <w:rPr>
          <w:spacing w:val="19"/>
        </w:rPr>
        <w:t> </w:t>
      </w:r>
      <w:r>
        <w:rPr/>
        <w:t>č.</w:t>
      </w:r>
      <w:r>
        <w:rPr>
          <w:spacing w:val="16"/>
        </w:rPr>
        <w:t> </w:t>
      </w:r>
      <w:r>
        <w:rPr/>
        <w:t>183/2006</w:t>
      </w:r>
      <w:r>
        <w:rPr>
          <w:spacing w:val="16"/>
        </w:rPr>
        <w:t> </w:t>
      </w:r>
      <w:r>
        <w:rPr/>
        <w:t>Sb.,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uzemním</w:t>
      </w:r>
      <w:r>
        <w:rPr>
          <w:spacing w:val="17"/>
        </w:rPr>
        <w:t> </w:t>
      </w:r>
      <w:r>
        <w:rPr/>
        <w:t>plánování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stavebním</w:t>
      </w:r>
      <w:r>
        <w:rPr>
          <w:spacing w:val="17"/>
        </w:rPr>
        <w:t> </w:t>
      </w:r>
      <w:r>
        <w:rPr/>
        <w:t>řádu</w:t>
      </w:r>
      <w:r>
        <w:rPr>
          <w:spacing w:val="19"/>
        </w:rPr>
        <w:t> </w:t>
      </w:r>
      <w:r>
        <w:rPr/>
        <w:t>(stavební</w:t>
      </w:r>
      <w:r>
        <w:rPr>
          <w:spacing w:val="16"/>
        </w:rPr>
        <w:t> </w:t>
      </w:r>
      <w:r>
        <w:rPr/>
        <w:t>zákon), v</w:t>
      </w:r>
      <w:r>
        <w:rPr>
          <w:spacing w:val="-14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</w:t>
      </w:r>
      <w:r>
        <w:rPr>
          <w:spacing w:val="-14"/>
        </w:rPr>
        <w:t> </w:t>
      </w:r>
      <w:r>
        <w:rPr/>
        <w:t>(kolaudační</w:t>
      </w:r>
      <w:r>
        <w:rPr>
          <w:spacing w:val="-13"/>
        </w:rPr>
        <w:t> </w:t>
      </w:r>
      <w:r>
        <w:rPr/>
        <w:t>souhlas,</w:t>
      </w:r>
      <w:r>
        <w:rPr>
          <w:spacing w:val="-14"/>
        </w:rPr>
        <w:t> </w:t>
      </w:r>
      <w:r>
        <w:rPr/>
        <w:t>doložení</w:t>
      </w:r>
      <w:r>
        <w:rPr>
          <w:spacing w:val="-14"/>
        </w:rPr>
        <w:t> </w:t>
      </w:r>
      <w:r>
        <w:rPr/>
        <w:t>oslovení</w:t>
      </w:r>
      <w:r>
        <w:rPr>
          <w:spacing w:val="-13"/>
        </w:rPr>
        <w:t> </w:t>
      </w:r>
      <w:r>
        <w:rPr/>
        <w:t>stavebního</w:t>
      </w:r>
      <w:r>
        <w:rPr>
          <w:spacing w:val="-14"/>
        </w:rPr>
        <w:t> </w:t>
      </w:r>
      <w:r>
        <w:rPr/>
        <w:t>úřadu,</w:t>
      </w:r>
      <w:r>
        <w:rPr>
          <w:spacing w:val="-14"/>
        </w:rPr>
        <w:t> </w:t>
      </w:r>
      <w:r>
        <w:rPr/>
        <w:t>případně</w:t>
      </w:r>
      <w:r>
        <w:rPr>
          <w:spacing w:val="-13"/>
        </w:rPr>
        <w:t> </w:t>
      </w:r>
      <w:r>
        <w:rPr/>
        <w:t>písemný</w:t>
      </w:r>
      <w:r>
        <w:rPr>
          <w:spacing w:val="-14"/>
        </w:rPr>
        <w:t> </w:t>
      </w:r>
      <w:r>
        <w:rPr/>
        <w:t>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02/2025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21"/>
        <w:ind w:left="948" w:right="111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2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6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50-89,99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 10-50 % z</w:t>
      </w:r>
      <w:r>
        <w:rPr>
          <w:spacing w:val="-2"/>
          <w:sz w:val="20"/>
        </w:rPr>
        <w:t> </w:t>
      </w:r>
      <w:r>
        <w:rPr>
          <w:sz w:val="20"/>
        </w:rPr>
        <w:t>poskytnuté podpory v</w:t>
      </w:r>
      <w:r>
        <w:rPr>
          <w:spacing w:val="-1"/>
          <w:sz w:val="20"/>
        </w:rPr>
        <w:t> </w:t>
      </w:r>
      <w:r>
        <w:rPr>
          <w:sz w:val="20"/>
        </w:rPr>
        <w:t>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line="265" w:lineRule="exact"/>
      </w:pPr>
      <w:r>
        <w:rPr>
          <w:spacing w:val="-5"/>
        </w:rPr>
        <w:t>VI.</w:t>
      </w:r>
    </w:p>
    <w:p>
      <w:pPr>
        <w:pStyle w:val="Heading2"/>
        <w:spacing w:line="265" w:lineRule="exact"/>
        <w:ind w:right="1057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VII.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1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25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425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13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2024-08-29T11:16:12Z</dcterms:created>
  <dcterms:modified xsi:type="dcterms:W3CDTF">2024-08-29T11:16:12Z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2024-08-29T00:00:00Z</vt:filetime>
  </property>
</Properties>
</file>