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505F" w14:textId="635B4A98" w:rsidR="00BD0E17" w:rsidRDefault="00BD0E17" w:rsidP="009C1AD3">
      <w:pPr>
        <w:pStyle w:val="Bezmezer"/>
        <w:rPr>
          <w:rFonts w:ascii="Arial" w:eastAsia="Times New Roman" w:hAnsi="Arial" w:cs="Arial"/>
          <w:b/>
          <w:bCs/>
          <w:color w:val="333333"/>
          <w:lang w:eastAsia="cs-CZ"/>
        </w:rPr>
      </w:pPr>
      <w:bookmarkStart w:id="0" w:name="_Hlk137011011"/>
    </w:p>
    <w:p w14:paraId="404983F5" w14:textId="5F582691" w:rsidR="009B49E3" w:rsidRDefault="009B49E3" w:rsidP="009C1AD3">
      <w:pPr>
        <w:pStyle w:val="Bezmezer"/>
        <w:rPr>
          <w:rFonts w:ascii="Arial" w:eastAsia="Times New Roman" w:hAnsi="Arial" w:cs="Arial"/>
          <w:b/>
          <w:bCs/>
          <w:color w:val="333333"/>
          <w:lang w:eastAsia="cs-CZ"/>
        </w:rPr>
      </w:pPr>
    </w:p>
    <w:p w14:paraId="79FA7B7E" w14:textId="7729838C" w:rsidR="009B49E3" w:rsidRPr="00A45086" w:rsidRDefault="009B49E3" w:rsidP="009B49E3">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t xml:space="preserve">Příloha č.  </w:t>
      </w:r>
      <w:r w:rsidRPr="00A45086">
        <w:rPr>
          <w:rFonts w:ascii="Arial" w:eastAsia="Times New Roman" w:hAnsi="Arial" w:cs="Arial"/>
          <w:bCs/>
          <w:color w:val="333333"/>
          <w:sz w:val="24"/>
          <w:szCs w:val="24"/>
          <w:lang w:eastAsia="cs-CZ"/>
        </w:rPr>
        <w:tab/>
        <w:t xml:space="preserve">      </w:t>
      </w:r>
    </w:p>
    <w:p w14:paraId="53CC7D57" w14:textId="77777777" w:rsidR="009B49E3" w:rsidRDefault="009B49E3"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 xml:space="preserve">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w:t>
      </w:r>
      <w:r w:rsidRPr="00594D5A">
        <w:rPr>
          <w:rFonts w:ascii="Arial" w:eastAsia="Times New Roman" w:hAnsi="Arial" w:cs="Arial"/>
          <w:color w:val="333333"/>
          <w:lang w:eastAsia="cs-CZ"/>
        </w:rPr>
        <w:lastRenderedPageBreak/>
        <w:t>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1" w:name="_Hlk90992813"/>
      <w:r w:rsidRPr="00B168AB">
        <w:rPr>
          <w:rFonts w:ascii="Arial" w:eastAsia="Times New Roman" w:hAnsi="Arial" w:cs="Arial"/>
          <w:color w:val="333333"/>
          <w:lang w:eastAsia="cs-CZ"/>
        </w:rPr>
        <w:lastRenderedPageBreak/>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2" w:name="_Hlk90993071"/>
      <w:r>
        <w:rPr>
          <w:rFonts w:ascii="Arial" w:eastAsia="Times New Roman" w:hAnsi="Arial" w:cs="Arial"/>
          <w:color w:val="333333"/>
          <w:lang w:eastAsia="cs-CZ"/>
        </w:rPr>
        <w:t>případné i jiné zcela bezohledné jednání rozporné se zásadami a hodnotami Etického kodexu TSK</w:t>
      </w:r>
      <w:bookmarkEnd w:id="2"/>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1"/>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bookmarkEnd w:id="0"/>
    </w:p>
    <w:sectPr w:rsidR="003F1C5F" w:rsidRPr="00E73E6E" w:rsidSect="000A629A">
      <w:headerReference w:type="default" r:id="rId9"/>
      <w:footerReference w:type="default" r:id="rId10"/>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E4E4" w14:textId="77777777" w:rsidR="00747FF2" w:rsidRDefault="00747FF2" w:rsidP="004852F1">
      <w:pPr>
        <w:spacing w:after="0" w:line="240" w:lineRule="auto"/>
      </w:pPr>
      <w:r>
        <w:separator/>
      </w:r>
    </w:p>
  </w:endnote>
  <w:endnote w:type="continuationSeparator" w:id="0">
    <w:p w14:paraId="4A81BE3A" w14:textId="77777777" w:rsidR="00747FF2" w:rsidRDefault="00747FF2" w:rsidP="004852F1">
      <w:pPr>
        <w:spacing w:after="0" w:line="240" w:lineRule="auto"/>
      </w:pPr>
      <w:r>
        <w:continuationSeparator/>
      </w:r>
    </w:p>
  </w:endnote>
  <w:endnote w:type="continuationNotice" w:id="1">
    <w:p w14:paraId="2F698EE7" w14:textId="77777777" w:rsidR="00747FF2" w:rsidRDefault="0074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4F95" w14:textId="77777777" w:rsidR="00E95352" w:rsidRPr="00E95352" w:rsidRDefault="00E95352">
    <w:pPr>
      <w:rPr>
        <w:sz w:val="2"/>
        <w:szCs w:val="2"/>
      </w:rPr>
    </w:pPr>
  </w:p>
  <w:p w14:paraId="0136706E" w14:textId="77777777" w:rsidR="005721D3" w:rsidRPr="00292957" w:rsidRDefault="005721D3" w:rsidP="00292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FC9C" w14:textId="77777777" w:rsidR="00747FF2" w:rsidRDefault="00747FF2" w:rsidP="004852F1">
      <w:pPr>
        <w:spacing w:after="0" w:line="240" w:lineRule="auto"/>
      </w:pPr>
      <w:r>
        <w:separator/>
      </w:r>
    </w:p>
  </w:footnote>
  <w:footnote w:type="continuationSeparator" w:id="0">
    <w:p w14:paraId="434CED29" w14:textId="77777777" w:rsidR="00747FF2" w:rsidRDefault="00747FF2" w:rsidP="004852F1">
      <w:pPr>
        <w:spacing w:after="0" w:line="240" w:lineRule="auto"/>
      </w:pPr>
      <w:r>
        <w:continuationSeparator/>
      </w:r>
    </w:p>
  </w:footnote>
  <w:footnote w:type="continuationNotice" w:id="1">
    <w:p w14:paraId="3764A181" w14:textId="77777777" w:rsidR="00747FF2" w:rsidRDefault="00747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A7EA8"/>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DCF"/>
    <w:rsid w:val="00467E4F"/>
    <w:rsid w:val="0047045C"/>
    <w:rsid w:val="004728DA"/>
    <w:rsid w:val="004747D5"/>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9D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47FF2"/>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49E3"/>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08C1"/>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4C5"/>
    <w:rsid w:val="00B52BA2"/>
    <w:rsid w:val="00B536A6"/>
    <w:rsid w:val="00B543F6"/>
    <w:rsid w:val="00B5469E"/>
    <w:rsid w:val="00B558A4"/>
    <w:rsid w:val="00B55EA1"/>
    <w:rsid w:val="00B55F22"/>
    <w:rsid w:val="00B57540"/>
    <w:rsid w:val="00B57581"/>
    <w:rsid w:val="00B575BF"/>
    <w:rsid w:val="00B57DBA"/>
    <w:rsid w:val="00B57F6B"/>
    <w:rsid w:val="00B62657"/>
    <w:rsid w:val="00B636E4"/>
    <w:rsid w:val="00B63C53"/>
    <w:rsid w:val="00B63D31"/>
    <w:rsid w:val="00B6407B"/>
    <w:rsid w:val="00B640AE"/>
    <w:rsid w:val="00B65662"/>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8</TotalTime>
  <Pages>4</Pages>
  <Words>1745</Words>
  <Characters>10297</Characters>
  <Application>Microsoft Office Word</Application>
  <DocSecurity>4</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12018</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Všetečková Tereza</cp:lastModifiedBy>
  <cp:revision>2</cp:revision>
  <cp:lastPrinted>2023-06-07T05:29:00Z</cp:lastPrinted>
  <dcterms:created xsi:type="dcterms:W3CDTF">2023-06-07T05:30:00Z</dcterms:created>
  <dcterms:modified xsi:type="dcterms:W3CDTF">2023-06-07T05:30:00Z</dcterms:modified>
</cp:coreProperties>
</file>