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6122EFEA" w:rsidR="00D859C2" w:rsidRPr="00726B26" w:rsidRDefault="008A2111" w:rsidP="00D859C2">
      <w:pPr>
        <w:rPr>
          <w:b/>
        </w:rPr>
      </w:pPr>
      <w:r>
        <w:rPr>
          <w:b/>
        </w:rPr>
        <w:t>Thein Systems a.s.</w:t>
      </w:r>
    </w:p>
    <w:p w14:paraId="3DADA2B1" w14:textId="544DD462" w:rsidR="00D859C2" w:rsidRDefault="00D859C2" w:rsidP="00D859C2">
      <w:r>
        <w:t xml:space="preserve">IČ: </w:t>
      </w:r>
      <w:r w:rsidR="008A2111">
        <w:t>27675645</w:t>
      </w:r>
    </w:p>
    <w:p w14:paraId="494735B8" w14:textId="03A5D570" w:rsidR="00D859C2" w:rsidRPr="00512AB9" w:rsidRDefault="00D859C2" w:rsidP="00D859C2">
      <w:r>
        <w:t xml:space="preserve">DIČ: </w:t>
      </w:r>
      <w:r w:rsidR="008A2111">
        <w:t>CZ27675645</w:t>
      </w:r>
    </w:p>
    <w:p w14:paraId="4BE4B061" w14:textId="56E5C856" w:rsidR="00D859C2" w:rsidRPr="00512AB9" w:rsidRDefault="00D859C2" w:rsidP="00D859C2">
      <w:r>
        <w:t>se sídlem</w:t>
      </w:r>
      <w:r w:rsidRPr="00512AB9">
        <w:t xml:space="preserve">:  </w:t>
      </w:r>
      <w:r w:rsidR="008A2111">
        <w:t>Technická 3029, 616 00 Brno</w:t>
      </w:r>
    </w:p>
    <w:p w14:paraId="1F4F5F98" w14:textId="48437CC2" w:rsidR="00D859C2" w:rsidRPr="00512AB9" w:rsidRDefault="00D859C2" w:rsidP="00D859C2">
      <w:r>
        <w:t>zastoupena</w:t>
      </w:r>
      <w:r w:rsidRPr="00512AB9">
        <w:t xml:space="preserve">: </w:t>
      </w:r>
      <w:r w:rsidR="008A2111">
        <w:t>Ottou Menzelem, členem představenstva</w:t>
      </w:r>
    </w:p>
    <w:p w14:paraId="43130257" w14:textId="217F7D3C" w:rsidR="00D859C2" w:rsidRPr="00512AB9" w:rsidRDefault="00D859C2" w:rsidP="00D859C2">
      <w:r w:rsidRPr="00512AB9">
        <w:t xml:space="preserve">bankovní spojení: </w:t>
      </w:r>
      <w:proofErr w:type="spellStart"/>
      <w:r w:rsidR="008A2111">
        <w:t>UnicreditBank</w:t>
      </w:r>
      <w:proofErr w:type="spellEnd"/>
    </w:p>
    <w:p w14:paraId="4B4D9F51" w14:textId="383ADB8A" w:rsidR="00D859C2" w:rsidRPr="00512AB9" w:rsidRDefault="00D859C2" w:rsidP="00D859C2">
      <w:r w:rsidRPr="00512AB9">
        <w:t xml:space="preserve">číslo účtu: </w:t>
      </w:r>
      <w:r w:rsidR="008A2111">
        <w:t>1387284101/2700</w:t>
      </w:r>
    </w:p>
    <w:p w14:paraId="7BE5CCD9" w14:textId="5C0FA604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A2111">
        <w:t>Krajským</w:t>
      </w:r>
      <w:r>
        <w:t xml:space="preserve"> </w:t>
      </w:r>
      <w:r w:rsidRPr="00652864">
        <w:t>soudem v </w:t>
      </w:r>
      <w:r w:rsidR="008A2111">
        <w:t>Brně</w:t>
      </w:r>
      <w:r w:rsidRPr="00652864">
        <w:t xml:space="preserve">, oddíl </w:t>
      </w:r>
      <w:r w:rsidR="008A2111">
        <w:t>B</w:t>
      </w:r>
      <w:r w:rsidRPr="00652864">
        <w:t xml:space="preserve">, vložka </w:t>
      </w:r>
      <w:r w:rsidR="008A2111">
        <w:t>4576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F7EC2CC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A20DF8">
        <w:rPr>
          <w:rFonts w:eastAsia="Arial"/>
          <w:b/>
        </w:rPr>
        <w:t>„</w:t>
      </w:r>
      <w:r w:rsidR="002050C7">
        <w:rPr>
          <w:b/>
        </w:rPr>
        <w:t xml:space="preserve">Doplnění HW pro implementaci </w:t>
      </w:r>
      <w:proofErr w:type="spellStart"/>
      <w:r w:rsidR="002050C7">
        <w:rPr>
          <w:b/>
        </w:rPr>
        <w:t>Doctis</w:t>
      </w:r>
      <w:proofErr w:type="spellEnd"/>
      <w:r w:rsidR="003B4838">
        <w:rPr>
          <w:b/>
        </w:rPr>
        <w:t xml:space="preserve"> II</w:t>
      </w:r>
      <w:r w:rsidR="719E714E" w:rsidRPr="38690F1A">
        <w:rPr>
          <w:rFonts w:eastAsia="Arial"/>
        </w:rPr>
        <w:t>“</w:t>
      </w:r>
      <w:r w:rsidR="003B4838">
        <w:t xml:space="preserve">,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23EBA34D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8A2111">
        <w:t>13</w:t>
      </w:r>
      <w:r w:rsidR="002F4F30" w:rsidRPr="00D859C2">
        <w:t xml:space="preserve"> ks</w:t>
      </w:r>
      <w:r w:rsidR="008A2111">
        <w:t xml:space="preserve"> PDA</w:t>
      </w:r>
      <w:r w:rsidR="008645D8" w:rsidRPr="00D859C2">
        <w:rPr>
          <w:b/>
        </w:rPr>
        <w:t xml:space="preserve">, typ: </w:t>
      </w:r>
      <w:r w:rsidR="008A2111">
        <w:rPr>
          <w:b/>
        </w:rPr>
        <w:t xml:space="preserve">Zebra HC20 (P/N: </w:t>
      </w:r>
      <w:r w:rsidR="008A2111" w:rsidRPr="008A2111">
        <w:rPr>
          <w:b/>
        </w:rPr>
        <w:t>WLMT0-H20B6BCJ1-A6</w:t>
      </w:r>
      <w:r w:rsidR="008A2111">
        <w:rPr>
          <w:b/>
        </w:rPr>
        <w:t xml:space="preserve">) </w:t>
      </w:r>
      <w:r w:rsidR="004453FF" w:rsidRPr="00D859C2">
        <w:rPr>
          <w:b/>
        </w:rPr>
        <w:t>výrobce</w:t>
      </w:r>
      <w:r w:rsidR="008A2111">
        <w:rPr>
          <w:b/>
        </w:rPr>
        <w:t xml:space="preserve"> Zebra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50A5B39D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20DF8" w:rsidRPr="00A20DF8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4FBAE669" w:rsidR="00BE2371" w:rsidRPr="00A20DF8" w:rsidRDefault="003F7B02" w:rsidP="00F5771E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A20DF8" w:rsidRPr="00A20DF8">
        <w:rPr>
          <w:rFonts w:eastAsia="Arial"/>
          <w:b/>
          <w:bCs/>
        </w:rPr>
        <w:t>FN Brno, P</w:t>
      </w:r>
      <w:r w:rsidR="00A20DF8">
        <w:rPr>
          <w:rFonts w:eastAsia="Arial"/>
          <w:b/>
          <w:bCs/>
        </w:rPr>
        <w:t xml:space="preserve">racoviště </w:t>
      </w:r>
      <w:r w:rsidR="00A20DF8" w:rsidRPr="00A20DF8">
        <w:rPr>
          <w:rFonts w:eastAsia="Arial"/>
          <w:b/>
          <w:bCs/>
        </w:rPr>
        <w:t>N</w:t>
      </w:r>
      <w:r w:rsidR="00A20DF8">
        <w:rPr>
          <w:rFonts w:eastAsia="Arial"/>
          <w:b/>
          <w:bCs/>
        </w:rPr>
        <w:t xml:space="preserve">emocnice </w:t>
      </w:r>
      <w:r w:rsidR="00A20DF8" w:rsidRPr="00A20DF8">
        <w:rPr>
          <w:rFonts w:eastAsia="Arial"/>
          <w:b/>
          <w:bCs/>
        </w:rPr>
        <w:t>B</w:t>
      </w:r>
      <w:r w:rsidR="00A20DF8">
        <w:rPr>
          <w:rFonts w:eastAsia="Arial"/>
          <w:b/>
          <w:bCs/>
        </w:rPr>
        <w:t>ohunice</w:t>
      </w:r>
      <w:r w:rsidR="00A20DF8" w:rsidRPr="00A20DF8">
        <w:rPr>
          <w:rFonts w:eastAsia="Arial"/>
          <w:b/>
          <w:bCs/>
        </w:rPr>
        <w:t>, COS I a Centrální sterilizace</w:t>
      </w:r>
      <w:r w:rsidR="00A20DF8">
        <w:rPr>
          <w:rFonts w:eastAsia="Arial"/>
          <w:b/>
          <w:bCs/>
        </w:rPr>
        <w:t>, Jihlavská 20, 625 00 Brno</w:t>
      </w:r>
      <w:r w:rsidR="003B4838">
        <w:rPr>
          <w:rFonts w:eastAsia="Arial"/>
          <w:b/>
          <w:bCs/>
        </w:rPr>
        <w:t xml:space="preserve"> (8ks)</w:t>
      </w:r>
      <w:r w:rsidR="00A20DF8">
        <w:rPr>
          <w:rFonts w:eastAsia="Arial"/>
          <w:b/>
          <w:bCs/>
        </w:rPr>
        <w:t xml:space="preserve"> a Pracoviště Dětská nemocnice, COS III, Černopolní 9, 613 00 Brno</w:t>
      </w:r>
      <w:r w:rsidR="003B4838">
        <w:rPr>
          <w:rFonts w:eastAsia="Arial"/>
          <w:b/>
          <w:bCs/>
        </w:rPr>
        <w:t xml:space="preserve"> (5 ks)</w:t>
      </w:r>
      <w:r w:rsidR="00A20DF8">
        <w:rPr>
          <w:rFonts w:eastAsia="Arial"/>
          <w:b/>
          <w:bCs/>
        </w:rPr>
        <w:t>.</w:t>
      </w:r>
    </w:p>
    <w:p w14:paraId="75136A6F" w14:textId="577C8728" w:rsidR="00D82704" w:rsidRPr="00D859C2" w:rsidRDefault="009A3D16" w:rsidP="49ED3F43">
      <w:pPr>
        <w:pStyle w:val="Odstavecsmlouvy"/>
      </w:pPr>
      <w:r>
        <w:lastRenderedPageBreak/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proofErr w:type="spellStart"/>
      <w:r w:rsidR="00ED18BE">
        <w:t>xxxxxxxxxxxxx</w:t>
      </w:r>
      <w:proofErr w:type="spellEnd"/>
      <w:r w:rsidR="00DE3A3F" w:rsidRPr="00A20DF8">
        <w:t>,</w:t>
      </w:r>
      <w:r w:rsidR="00DE3A3F">
        <w:t xml:space="preserve"> tel.: </w:t>
      </w:r>
      <w:proofErr w:type="spellStart"/>
      <w:r w:rsidR="00ED18BE">
        <w:t>xxxxxxxxxxxxx</w:t>
      </w:r>
      <w:proofErr w:type="spellEnd"/>
      <w:r w:rsidR="00DE3A3F">
        <w:t xml:space="preserve"> a písemně na e-mail: </w:t>
      </w:r>
      <w:proofErr w:type="spellStart"/>
      <w:r w:rsidR="00ED18BE" w:rsidRPr="00ED18BE">
        <w:rPr>
          <w:rFonts w:eastAsia="Arial"/>
          <w:bCs/>
        </w:rPr>
        <w:t>xxxxxxxxxxxx</w:t>
      </w:r>
      <w:proofErr w:type="spellEnd"/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257393F8" w:rsidR="00D859C2" w:rsidRPr="005B49AA" w:rsidRDefault="008A2111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199 472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0994E6CD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A2111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6A7A75CA" w:rsidR="00D859C2" w:rsidRPr="005B49AA" w:rsidRDefault="008A2111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41 889,12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532159C5" w:rsidR="00D859C2" w:rsidRPr="005B49AA" w:rsidRDefault="008A2111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241 361,12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</w:t>
      </w:r>
      <w:r w:rsidRPr="00D859C2">
        <w:lastRenderedPageBreak/>
        <w:t xml:space="preserve">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6244F4F0" w14:textId="77777777" w:rsidR="003B4838" w:rsidRDefault="003B4838" w:rsidP="003B4838">
      <w:pPr>
        <w:pStyle w:val="Odstavecseseznamem"/>
      </w:pPr>
    </w:p>
    <w:p w14:paraId="3EA1DA6A" w14:textId="77777777" w:rsidR="003B4838" w:rsidRDefault="003B4838" w:rsidP="003B4838">
      <w:pPr>
        <w:pStyle w:val="Odstavecsmlouvy"/>
        <w:numPr>
          <w:ilvl w:val="0"/>
          <w:numId w:val="0"/>
        </w:numPr>
        <w:ind w:left="567"/>
      </w:pP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891DB95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521D38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46E4A65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0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prodlení.</w:t>
      </w:r>
      <w:bookmarkEnd w:id="0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45C59730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proofErr w:type="spellStart"/>
      <w:r w:rsidR="00521D38">
        <w:t>pracovni</w:t>
      </w:r>
      <w:proofErr w:type="spellEnd"/>
      <w:r w:rsidR="00521D38">
        <w:t xml:space="preserve">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</w:t>
      </w:r>
      <w:r w:rsidRPr="00D859C2">
        <w:lastRenderedPageBreak/>
        <w:t xml:space="preserve">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3ACE586B" w14:textId="77777777" w:rsidR="00521D38" w:rsidRDefault="00521D38" w:rsidP="00521D38">
      <w:pPr>
        <w:pStyle w:val="Odstavecseseznamem"/>
      </w:pPr>
    </w:p>
    <w:p w14:paraId="4845DA23" w14:textId="77777777" w:rsidR="00521D38" w:rsidRPr="00D859C2" w:rsidRDefault="00521D38" w:rsidP="00521D38">
      <w:pPr>
        <w:pStyle w:val="Odstavecsmlouvy"/>
        <w:numPr>
          <w:ilvl w:val="0"/>
          <w:numId w:val="0"/>
        </w:numPr>
        <w:ind w:left="567"/>
      </w:pP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D6449D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521D38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proofErr w:type="gramStart"/>
      <w:r w:rsidRPr="00521D38">
        <w:rPr>
          <w:snapToGrid w:val="0"/>
        </w:rPr>
        <w:t xml:space="preserve">obdrží </w:t>
      </w:r>
      <w:r w:rsidR="00521D38" w:rsidRPr="00521D38">
        <w:rPr>
          <w:snapToGrid w:val="0"/>
        </w:rPr>
        <w:t xml:space="preserve"> </w:t>
      </w:r>
      <w:r w:rsidRPr="00521D38">
        <w:rPr>
          <w:snapToGrid w:val="0"/>
        </w:rPr>
        <w:t>jedno</w:t>
      </w:r>
      <w:proofErr w:type="gramEnd"/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2CA17978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5E69F2">
              <w:rPr>
                <w:sz w:val="22"/>
                <w:szCs w:val="22"/>
              </w:rPr>
              <w:t>Brně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6D67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693A2614" w:rsidR="00094B12" w:rsidRPr="001150C5" w:rsidRDefault="005E69F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Thein Systems a.s.</w:t>
            </w:r>
          </w:p>
          <w:p w14:paraId="206A5EEE" w14:textId="71CF92A0" w:rsidR="00094B12" w:rsidRDefault="005E69F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Otto Menzel</w:t>
            </w:r>
            <w:r w:rsidR="00D36D1E">
              <w:rPr>
                <w:sz w:val="22"/>
                <w:szCs w:val="22"/>
              </w:rPr>
              <w:t>,</w:t>
            </w:r>
          </w:p>
          <w:p w14:paraId="17D23793" w14:textId="26890765" w:rsidR="005E69F2" w:rsidRPr="00D722DC" w:rsidRDefault="005E69F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139CD13C" w14:textId="3066EEEF" w:rsidR="00A05D45" w:rsidRDefault="00A05D45" w:rsidP="00994805">
      <w:pPr>
        <w:ind w:left="284" w:hanging="5"/>
      </w:pPr>
    </w:p>
    <w:p w14:paraId="723ABFA7" w14:textId="04E7925D" w:rsidR="00F576D1" w:rsidRDefault="008A2111" w:rsidP="00F576D1">
      <w:r w:rsidRPr="008A2111">
        <w:t>Zebra HC20</w:t>
      </w:r>
      <w:r w:rsidR="00F576D1">
        <w:t>,</w:t>
      </w:r>
      <w:r w:rsidRPr="008A2111">
        <w:t xml:space="preserve"> white</w:t>
      </w:r>
      <w:r w:rsidR="00F576D1" w:rsidRPr="00F576D1">
        <w:t xml:space="preserve"> </w:t>
      </w:r>
      <w:r w:rsidR="00F576D1">
        <w:t xml:space="preserve">P/N: </w:t>
      </w:r>
      <w:r w:rsidR="00F576D1" w:rsidRPr="008A2111">
        <w:t>WLMT0-H20B6BCJ1-A6</w:t>
      </w:r>
      <w:r w:rsidR="00F576D1">
        <w:t>, výrobce: Zebra – 13 ks</w:t>
      </w:r>
    </w:p>
    <w:p w14:paraId="461565BD" w14:textId="33C3FA0B" w:rsidR="008A2111" w:rsidRDefault="008A2111" w:rsidP="0035457C">
      <w:pPr>
        <w:ind w:left="284" w:hanging="5"/>
      </w:pPr>
    </w:p>
    <w:p w14:paraId="13EDF353" w14:textId="77777777" w:rsidR="008A2111" w:rsidRDefault="008A2111" w:rsidP="00994805">
      <w:pPr>
        <w:ind w:left="284" w:hanging="5"/>
      </w:pPr>
    </w:p>
    <w:p w14:paraId="4FB5FD03" w14:textId="685EA3D8" w:rsidR="008A2111" w:rsidRDefault="008A2111" w:rsidP="00994805">
      <w:pPr>
        <w:ind w:left="284" w:hanging="5"/>
      </w:pPr>
      <w:r>
        <w:t>Cena: 15 344 Kč bez DPH/kus</w:t>
      </w:r>
    </w:p>
    <w:p w14:paraId="6DBFE66F" w14:textId="77777777" w:rsidR="00227DA1" w:rsidRDefault="00227DA1" w:rsidP="00994805">
      <w:pPr>
        <w:ind w:left="284" w:hanging="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5"/>
        <w:gridCol w:w="1138"/>
        <w:gridCol w:w="2639"/>
      </w:tblGrid>
      <w:tr w:rsidR="00227DA1" w:rsidRPr="00EB0938" w14:paraId="2B339CA0" w14:textId="77777777" w:rsidTr="00014CD9">
        <w:trPr>
          <w:trHeight w:val="495"/>
        </w:trPr>
        <w:tc>
          <w:tcPr>
            <w:tcW w:w="2916" w:type="pct"/>
            <w:vMerge w:val="restart"/>
            <w:shd w:val="clear" w:color="000000" w:fill="FFFF99"/>
            <w:vAlign w:val="center"/>
            <w:hideMark/>
          </w:tcPr>
          <w:p w14:paraId="4A59C02C" w14:textId="77777777" w:rsidR="00227DA1" w:rsidRPr="00EB0938" w:rsidRDefault="00227DA1" w:rsidP="00014CD9">
            <w:pPr>
              <w:jc w:val="center"/>
              <w:rPr>
                <w:b/>
                <w:bCs/>
                <w:i/>
                <w:iCs/>
              </w:rPr>
            </w:pPr>
            <w:r w:rsidRPr="00EB0938">
              <w:rPr>
                <w:b/>
                <w:bCs/>
                <w:i/>
                <w:iCs/>
              </w:rPr>
              <w:t>Funkcionalit</w:t>
            </w:r>
            <w:bookmarkStart w:id="1" w:name="_GoBack"/>
            <w:bookmarkEnd w:id="1"/>
            <w:r w:rsidRPr="00EB0938">
              <w:rPr>
                <w:b/>
                <w:bCs/>
                <w:i/>
                <w:iCs/>
              </w:rPr>
              <w:t>a / požadované parametry</w:t>
            </w:r>
          </w:p>
        </w:tc>
        <w:tc>
          <w:tcPr>
            <w:tcW w:w="628" w:type="pct"/>
            <w:vMerge w:val="restart"/>
            <w:shd w:val="clear" w:color="000000" w:fill="FFFF99"/>
            <w:vAlign w:val="center"/>
            <w:hideMark/>
          </w:tcPr>
          <w:p w14:paraId="702E2588" w14:textId="77777777" w:rsidR="00227DA1" w:rsidRPr="00EB0938" w:rsidRDefault="00227DA1" w:rsidP="00014CD9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EB0938">
              <w:rPr>
                <w:b/>
                <w:bCs/>
                <w:i/>
                <w:iCs/>
              </w:rPr>
              <w:t>min.  max.</w:t>
            </w:r>
            <w:proofErr w:type="gramEnd"/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3562D289" w14:textId="77777777" w:rsidR="00227DA1" w:rsidRPr="00EB0938" w:rsidRDefault="00227DA1" w:rsidP="00014C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PDA</w:t>
            </w:r>
          </w:p>
        </w:tc>
      </w:tr>
      <w:tr w:rsidR="00227DA1" w:rsidRPr="00EB0938" w14:paraId="6369CB20" w14:textId="77777777" w:rsidTr="00014CD9">
        <w:trPr>
          <w:trHeight w:val="390"/>
        </w:trPr>
        <w:tc>
          <w:tcPr>
            <w:tcW w:w="2916" w:type="pct"/>
            <w:vMerge/>
            <w:vAlign w:val="center"/>
            <w:hideMark/>
          </w:tcPr>
          <w:p w14:paraId="760C6B35" w14:textId="77777777" w:rsidR="00227DA1" w:rsidRPr="00EB0938" w:rsidRDefault="00227DA1" w:rsidP="00014CD9">
            <w:pPr>
              <w:rPr>
                <w:b/>
                <w:bCs/>
                <w:i/>
                <w:iCs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5579BC39" w14:textId="77777777" w:rsidR="00227DA1" w:rsidRPr="00EB0938" w:rsidRDefault="00227DA1" w:rsidP="00014CD9">
            <w:pPr>
              <w:rPr>
                <w:b/>
                <w:bCs/>
                <w:i/>
                <w:iCs/>
              </w:rPr>
            </w:pPr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3A36CD2B" w14:textId="77777777" w:rsidR="00227DA1" w:rsidRPr="00EB0938" w:rsidRDefault="00227DA1" w:rsidP="00014CD9">
            <w:pPr>
              <w:jc w:val="center"/>
              <w:rPr>
                <w:b/>
                <w:bCs/>
                <w:i/>
                <w:iCs/>
              </w:rPr>
            </w:pPr>
            <w:r w:rsidRPr="00EB0938">
              <w:rPr>
                <w:b/>
                <w:bCs/>
                <w:i/>
                <w:iCs/>
              </w:rPr>
              <w:t> </w:t>
            </w:r>
          </w:p>
        </w:tc>
      </w:tr>
      <w:tr w:rsidR="00227DA1" w:rsidRPr="00EB0938" w14:paraId="7F69CC9D" w14:textId="77777777" w:rsidTr="00014CD9">
        <w:trPr>
          <w:trHeight w:val="405"/>
        </w:trPr>
        <w:tc>
          <w:tcPr>
            <w:tcW w:w="2916" w:type="pct"/>
            <w:vMerge/>
            <w:vAlign w:val="center"/>
            <w:hideMark/>
          </w:tcPr>
          <w:p w14:paraId="6CA28907" w14:textId="77777777" w:rsidR="00227DA1" w:rsidRPr="00EB0938" w:rsidRDefault="00227DA1" w:rsidP="00014CD9">
            <w:pPr>
              <w:rPr>
                <w:b/>
                <w:bCs/>
                <w:i/>
                <w:iCs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326FBBCB" w14:textId="77777777" w:rsidR="00227DA1" w:rsidRPr="00EB0938" w:rsidRDefault="00227DA1" w:rsidP="00014CD9">
            <w:pPr>
              <w:rPr>
                <w:b/>
                <w:bCs/>
                <w:i/>
                <w:iCs/>
              </w:rPr>
            </w:pPr>
          </w:p>
        </w:tc>
        <w:tc>
          <w:tcPr>
            <w:tcW w:w="1456" w:type="pct"/>
            <w:shd w:val="clear" w:color="000000" w:fill="FABF8F"/>
            <w:vAlign w:val="center"/>
            <w:hideMark/>
          </w:tcPr>
          <w:p w14:paraId="0384241B" w14:textId="77777777" w:rsidR="00227DA1" w:rsidRPr="00EB0938" w:rsidRDefault="00227DA1" w:rsidP="00014CD9">
            <w:pPr>
              <w:jc w:val="center"/>
              <w:rPr>
                <w:b/>
                <w:bCs/>
                <w:i/>
                <w:iCs/>
              </w:rPr>
            </w:pPr>
            <w:r w:rsidRPr="00EB0938">
              <w:rPr>
                <w:b/>
                <w:bCs/>
                <w:i/>
                <w:iCs/>
              </w:rPr>
              <w:t>Požadované parametry</w:t>
            </w:r>
          </w:p>
        </w:tc>
      </w:tr>
      <w:tr w:rsidR="00227DA1" w:rsidRPr="00EB0938" w14:paraId="3FB7B659" w14:textId="77777777" w:rsidTr="00014CD9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18DB94B4" w14:textId="77777777" w:rsidR="00227DA1" w:rsidRPr="00EB0938" w:rsidRDefault="00227DA1" w:rsidP="00014CD9">
            <w:r w:rsidRPr="00EB0938">
              <w:t>OS</w:t>
            </w:r>
          </w:p>
        </w:tc>
        <w:tc>
          <w:tcPr>
            <w:tcW w:w="628" w:type="pct"/>
            <w:shd w:val="clear" w:color="000000" w:fill="FFFFFF"/>
            <w:hideMark/>
          </w:tcPr>
          <w:p w14:paraId="3AE485FF" w14:textId="77777777" w:rsidR="00227DA1" w:rsidRPr="00EB0938" w:rsidRDefault="00227DA1" w:rsidP="00014CD9">
            <w:pPr>
              <w:jc w:val="center"/>
            </w:pPr>
            <w: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6BF561D9" w14:textId="77777777" w:rsidR="00227DA1" w:rsidRPr="00595F00" w:rsidRDefault="00227DA1" w:rsidP="00014CD9">
            <w:pPr>
              <w:rPr>
                <w:bCs/>
              </w:rPr>
            </w:pPr>
            <w:r w:rsidRPr="00595F00">
              <w:rPr>
                <w:bCs/>
              </w:rPr>
              <w:t>Android</w:t>
            </w:r>
            <w:r>
              <w:rPr>
                <w:bCs/>
              </w:rPr>
              <w:t xml:space="preserve"> 13</w:t>
            </w:r>
          </w:p>
        </w:tc>
      </w:tr>
      <w:tr w:rsidR="00227DA1" w:rsidRPr="00EB0938" w14:paraId="6067454D" w14:textId="77777777" w:rsidTr="00014CD9">
        <w:trPr>
          <w:trHeight w:val="360"/>
        </w:trPr>
        <w:tc>
          <w:tcPr>
            <w:tcW w:w="2916" w:type="pct"/>
            <w:shd w:val="clear" w:color="000000" w:fill="FFFFFF"/>
            <w:hideMark/>
          </w:tcPr>
          <w:p w14:paraId="05DB3932" w14:textId="77777777" w:rsidR="00227DA1" w:rsidRPr="00EB0938" w:rsidRDefault="00227DA1" w:rsidP="00014CD9">
            <w:r w:rsidRPr="00EB0938">
              <w:t>Display</w:t>
            </w:r>
          </w:p>
        </w:tc>
        <w:tc>
          <w:tcPr>
            <w:tcW w:w="628" w:type="pct"/>
            <w:shd w:val="clear" w:color="000000" w:fill="FFFFFF"/>
            <w:hideMark/>
          </w:tcPr>
          <w:p w14:paraId="462DE3DE" w14:textId="77777777" w:rsidR="00227DA1" w:rsidRPr="00EB0938" w:rsidRDefault="00227DA1" w:rsidP="00014CD9">
            <w:pPr>
              <w:jc w:val="center"/>
            </w:pPr>
          </w:p>
        </w:tc>
        <w:tc>
          <w:tcPr>
            <w:tcW w:w="1456" w:type="pct"/>
            <w:shd w:val="clear" w:color="auto" w:fill="auto"/>
            <w:hideMark/>
          </w:tcPr>
          <w:p w14:paraId="698B9808" w14:textId="77777777" w:rsidR="00227DA1" w:rsidRPr="00C87921" w:rsidRDefault="00227DA1" w:rsidP="00014CD9">
            <w:r>
              <w:t xml:space="preserve">6,0 palců, </w:t>
            </w:r>
            <w:r w:rsidRPr="00C87921">
              <w:t>barevný (1</w:t>
            </w:r>
            <w:r>
              <w:t>080</w:t>
            </w:r>
            <w:r w:rsidRPr="00C87921">
              <w:t xml:space="preserve"> x </w:t>
            </w:r>
            <w:r>
              <w:t>2160</w:t>
            </w:r>
            <w:r w:rsidRPr="00C87921">
              <w:t>); LED</w:t>
            </w:r>
          </w:p>
          <w:p w14:paraId="2B5469B0" w14:textId="77777777" w:rsidR="00227DA1" w:rsidRPr="00EB0938" w:rsidRDefault="00227DA1" w:rsidP="00014CD9">
            <w:r w:rsidRPr="00C87921">
              <w:t xml:space="preserve">podsvícení; sklo </w:t>
            </w:r>
            <w:proofErr w:type="spellStart"/>
            <w:r w:rsidRPr="00C87921">
              <w:t>Corning</w:t>
            </w:r>
            <w:proofErr w:type="spellEnd"/>
            <w:r w:rsidRPr="00C87921">
              <w:t xml:space="preserve">® </w:t>
            </w:r>
            <w:proofErr w:type="spellStart"/>
            <w:r w:rsidRPr="00C87921">
              <w:t>Gorilla</w:t>
            </w:r>
            <w:proofErr w:type="spellEnd"/>
            <w:r w:rsidRPr="00C87921">
              <w:t>®</w:t>
            </w:r>
          </w:p>
        </w:tc>
      </w:tr>
      <w:tr w:rsidR="00227DA1" w:rsidRPr="00EB0938" w14:paraId="029F96A7" w14:textId="77777777" w:rsidTr="00014CD9">
        <w:trPr>
          <w:trHeight w:val="345"/>
        </w:trPr>
        <w:tc>
          <w:tcPr>
            <w:tcW w:w="2916" w:type="pct"/>
            <w:shd w:val="clear" w:color="000000" w:fill="FFFFFF"/>
          </w:tcPr>
          <w:p w14:paraId="74DA75EF" w14:textId="77777777" w:rsidR="00227DA1" w:rsidRPr="00EB0938" w:rsidRDefault="00227DA1" w:rsidP="00014CD9">
            <w:r w:rsidRPr="00F21A2A">
              <w:t>Dotykový panel</w:t>
            </w:r>
          </w:p>
        </w:tc>
        <w:tc>
          <w:tcPr>
            <w:tcW w:w="628" w:type="pct"/>
            <w:shd w:val="clear" w:color="000000" w:fill="FFFFFF"/>
          </w:tcPr>
          <w:p w14:paraId="7BEB3F4B" w14:textId="77777777" w:rsidR="00227DA1" w:rsidRPr="00EB0938" w:rsidRDefault="00227DA1" w:rsidP="00014CD9">
            <w:pPr>
              <w:jc w:val="center"/>
            </w:pPr>
          </w:p>
        </w:tc>
        <w:tc>
          <w:tcPr>
            <w:tcW w:w="1456" w:type="pct"/>
            <w:shd w:val="clear" w:color="auto" w:fill="auto"/>
          </w:tcPr>
          <w:p w14:paraId="0AE808A0" w14:textId="77777777" w:rsidR="00227DA1" w:rsidRDefault="00227DA1" w:rsidP="00014CD9">
            <w:r w:rsidRPr="00F21A2A">
              <w:t xml:space="preserve">Kapacitní dotykový panel; </w:t>
            </w:r>
            <w:proofErr w:type="spellStart"/>
            <w:r w:rsidRPr="00F21A2A">
              <w:t>vícedotykový</w:t>
            </w:r>
            <w:proofErr w:type="spellEnd"/>
          </w:p>
        </w:tc>
      </w:tr>
      <w:tr w:rsidR="00227DA1" w:rsidRPr="00EB0938" w14:paraId="79AB31B2" w14:textId="77777777" w:rsidTr="00014CD9">
        <w:trPr>
          <w:trHeight w:val="345"/>
        </w:trPr>
        <w:tc>
          <w:tcPr>
            <w:tcW w:w="2916" w:type="pct"/>
            <w:shd w:val="clear" w:color="000000" w:fill="FFFFFF"/>
          </w:tcPr>
          <w:p w14:paraId="3F6344CF" w14:textId="77777777" w:rsidR="00227DA1" w:rsidRPr="00EB0938" w:rsidRDefault="00227DA1" w:rsidP="00014CD9">
            <w:r>
              <w:t>Tlačítka</w:t>
            </w:r>
          </w:p>
        </w:tc>
        <w:tc>
          <w:tcPr>
            <w:tcW w:w="628" w:type="pct"/>
            <w:shd w:val="clear" w:color="000000" w:fill="FFFFFF"/>
          </w:tcPr>
          <w:p w14:paraId="5E537F42" w14:textId="77777777" w:rsidR="00227DA1" w:rsidRPr="00EB0938" w:rsidRDefault="00227DA1" w:rsidP="00014CD9">
            <w:pPr>
              <w:jc w:val="center"/>
            </w:pPr>
          </w:p>
        </w:tc>
        <w:tc>
          <w:tcPr>
            <w:tcW w:w="1456" w:type="pct"/>
            <w:shd w:val="clear" w:color="auto" w:fill="auto"/>
          </w:tcPr>
          <w:p w14:paraId="4445F173" w14:textId="77777777" w:rsidR="00227DA1" w:rsidRPr="001D6DEB" w:rsidRDefault="00227DA1" w:rsidP="00014CD9">
            <w:r w:rsidRPr="001D6DEB">
              <w:t>Snímání na každé straně; zvýšení/snížení</w:t>
            </w:r>
          </w:p>
          <w:p w14:paraId="4A4CA6E3" w14:textId="77777777" w:rsidR="00227DA1" w:rsidRDefault="00227DA1" w:rsidP="00014CD9">
            <w:r w:rsidRPr="001D6DEB">
              <w:t xml:space="preserve">hlasitosti; napájení; klávesy </w:t>
            </w:r>
            <w:proofErr w:type="spellStart"/>
            <w:r w:rsidRPr="001D6DEB">
              <w:t>push</w:t>
            </w:r>
            <w:proofErr w:type="spellEnd"/>
            <w:r w:rsidRPr="001D6DEB">
              <w:t>-to-talk (PTT)</w:t>
            </w:r>
          </w:p>
        </w:tc>
      </w:tr>
      <w:tr w:rsidR="00227DA1" w:rsidRPr="00EB0938" w14:paraId="0E7042BB" w14:textId="77777777" w:rsidTr="00014CD9">
        <w:trPr>
          <w:trHeight w:val="345"/>
        </w:trPr>
        <w:tc>
          <w:tcPr>
            <w:tcW w:w="2916" w:type="pct"/>
            <w:shd w:val="clear" w:color="000000" w:fill="FFFFFF"/>
            <w:hideMark/>
          </w:tcPr>
          <w:p w14:paraId="379E74B2" w14:textId="77777777" w:rsidR="00227DA1" w:rsidRPr="00EB0938" w:rsidRDefault="00227DA1" w:rsidP="00014CD9">
            <w:r w:rsidRPr="00EB0938">
              <w:t>RAM</w:t>
            </w:r>
          </w:p>
        </w:tc>
        <w:tc>
          <w:tcPr>
            <w:tcW w:w="628" w:type="pct"/>
            <w:shd w:val="clear" w:color="000000" w:fill="FFFFFF"/>
            <w:hideMark/>
          </w:tcPr>
          <w:p w14:paraId="54EFB465" w14:textId="77777777" w:rsidR="00227DA1" w:rsidRPr="00EB0938" w:rsidRDefault="00227DA1" w:rsidP="00014CD9">
            <w:pPr>
              <w:jc w:val="center"/>
            </w:pPr>
            <w:r w:rsidRPr="00EB0938">
              <w:t>  </w:t>
            </w:r>
            <w: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0AE85778" w14:textId="77777777" w:rsidR="00227DA1" w:rsidRPr="00EB0938" w:rsidRDefault="00227DA1" w:rsidP="00014CD9">
            <w:r>
              <w:t>6GB</w:t>
            </w:r>
          </w:p>
        </w:tc>
      </w:tr>
      <w:tr w:rsidR="00227DA1" w:rsidRPr="00EB0938" w14:paraId="097B9363" w14:textId="77777777" w:rsidTr="00014CD9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03BCB2E4" w14:textId="77777777" w:rsidR="00227DA1" w:rsidRPr="00EB0938" w:rsidRDefault="00227DA1" w:rsidP="00014CD9">
            <w:r w:rsidRPr="00EB0938">
              <w:t>ROM</w:t>
            </w:r>
          </w:p>
        </w:tc>
        <w:tc>
          <w:tcPr>
            <w:tcW w:w="628" w:type="pct"/>
            <w:shd w:val="clear" w:color="000000" w:fill="FFFFFF"/>
            <w:hideMark/>
          </w:tcPr>
          <w:p w14:paraId="792775B8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  <w: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79DC0A14" w14:textId="77777777" w:rsidR="00227DA1" w:rsidRPr="00EB0938" w:rsidRDefault="00227DA1" w:rsidP="00014CD9">
            <w:r>
              <w:t>64GB</w:t>
            </w:r>
          </w:p>
        </w:tc>
      </w:tr>
      <w:tr w:rsidR="00227DA1" w:rsidRPr="00EB0938" w14:paraId="027C4610" w14:textId="77777777" w:rsidTr="00014CD9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64D1E2A7" w14:textId="77777777" w:rsidR="00227DA1" w:rsidRPr="00EB0938" w:rsidRDefault="00227DA1" w:rsidP="00014CD9">
            <w:r>
              <w:t>Snímání</w:t>
            </w:r>
          </w:p>
          <w:p w14:paraId="62F10884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3E0A6B7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6C68907F" w14:textId="77777777" w:rsidR="00227DA1" w:rsidRPr="00EB0938" w:rsidRDefault="00227DA1" w:rsidP="00014CD9">
            <w:r w:rsidRPr="00EB0938">
              <w:t>1D/2D</w:t>
            </w:r>
          </w:p>
        </w:tc>
      </w:tr>
      <w:tr w:rsidR="00227DA1" w:rsidRPr="00EB0938" w14:paraId="4F5C1A12" w14:textId="77777777" w:rsidTr="00014CD9">
        <w:trPr>
          <w:trHeight w:val="285"/>
        </w:trPr>
        <w:tc>
          <w:tcPr>
            <w:tcW w:w="2916" w:type="pct"/>
            <w:shd w:val="clear" w:color="000000" w:fill="FFFFFF"/>
          </w:tcPr>
          <w:p w14:paraId="749872E8" w14:textId="77777777" w:rsidR="00227DA1" w:rsidRPr="00EB0938" w:rsidRDefault="00227DA1" w:rsidP="00014CD9">
            <w:r w:rsidRPr="001D6DEB">
              <w:t>Fotoaparát</w:t>
            </w:r>
          </w:p>
        </w:tc>
        <w:tc>
          <w:tcPr>
            <w:tcW w:w="628" w:type="pct"/>
            <w:shd w:val="clear" w:color="000000" w:fill="FFFFFF"/>
          </w:tcPr>
          <w:p w14:paraId="177D16BD" w14:textId="77777777" w:rsidR="00227DA1" w:rsidRPr="00EB0938" w:rsidRDefault="00227DA1" w:rsidP="00014CD9">
            <w:pPr>
              <w:jc w:val="center"/>
            </w:pPr>
            <w:r>
              <w:t>min.</w:t>
            </w:r>
          </w:p>
        </w:tc>
        <w:tc>
          <w:tcPr>
            <w:tcW w:w="1456" w:type="pct"/>
            <w:shd w:val="clear" w:color="auto" w:fill="auto"/>
          </w:tcPr>
          <w:p w14:paraId="34DDFCCB" w14:textId="77777777" w:rsidR="00227DA1" w:rsidRPr="00EB0938" w:rsidRDefault="00227DA1" w:rsidP="00014CD9">
            <w:r w:rsidRPr="001D6DEB">
              <w:t>Zadní fotoaparát 1</w:t>
            </w:r>
            <w:r>
              <w:t>6</w:t>
            </w:r>
            <w:r w:rsidRPr="001D6DEB">
              <w:t xml:space="preserve"> MP</w:t>
            </w:r>
          </w:p>
          <w:p w14:paraId="4337D110" w14:textId="77777777" w:rsidR="00227DA1" w:rsidRPr="00EB0938" w:rsidRDefault="00227DA1" w:rsidP="00014CD9"/>
        </w:tc>
      </w:tr>
      <w:tr w:rsidR="00227DA1" w:rsidRPr="00EB0938" w14:paraId="23ED1ED1" w14:textId="77777777" w:rsidTr="00014CD9">
        <w:trPr>
          <w:trHeight w:val="285"/>
        </w:trPr>
        <w:tc>
          <w:tcPr>
            <w:tcW w:w="2916" w:type="pct"/>
            <w:shd w:val="clear" w:color="000000" w:fill="FFFFFF"/>
            <w:hideMark/>
          </w:tcPr>
          <w:p w14:paraId="1B60F46A" w14:textId="77777777" w:rsidR="00227DA1" w:rsidRPr="00EB0938" w:rsidRDefault="00227DA1" w:rsidP="00014CD9">
            <w:r w:rsidRPr="00EB0938">
              <w:t>Pracovní teplota</w:t>
            </w:r>
          </w:p>
          <w:p w14:paraId="718D521C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593E093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251B5087" w14:textId="77777777" w:rsidR="00227DA1" w:rsidRPr="00EB0938" w:rsidRDefault="00227DA1" w:rsidP="00014CD9">
            <w:r w:rsidRPr="000A3464">
              <w:t>-10 °C až 50 °C</w:t>
            </w:r>
          </w:p>
        </w:tc>
      </w:tr>
      <w:tr w:rsidR="00227DA1" w:rsidRPr="00EB0938" w14:paraId="5DD0522D" w14:textId="77777777" w:rsidTr="00014CD9">
        <w:trPr>
          <w:trHeight w:val="300"/>
        </w:trPr>
        <w:tc>
          <w:tcPr>
            <w:tcW w:w="2916" w:type="pct"/>
            <w:vMerge w:val="restart"/>
            <w:shd w:val="clear" w:color="000000" w:fill="FFFFFF"/>
            <w:hideMark/>
          </w:tcPr>
          <w:p w14:paraId="5AC3EE3F" w14:textId="77777777" w:rsidR="00227DA1" w:rsidRPr="00EB0938" w:rsidRDefault="00227DA1" w:rsidP="00014CD9">
            <w:r w:rsidRPr="00EB0938">
              <w:t> </w:t>
            </w:r>
          </w:p>
          <w:p w14:paraId="2997DB2D" w14:textId="77777777" w:rsidR="00227DA1" w:rsidRPr="00EB0938" w:rsidRDefault="00227DA1" w:rsidP="00014CD9">
            <w:r w:rsidRPr="00EB0938">
              <w:t> </w:t>
            </w:r>
          </w:p>
          <w:p w14:paraId="41C02397" w14:textId="77777777" w:rsidR="00227DA1" w:rsidRPr="00EB0938" w:rsidRDefault="00227DA1" w:rsidP="00014CD9">
            <w:r w:rsidRPr="00EB0938">
              <w:t> </w:t>
            </w:r>
            <w:r>
              <w:t>Rozhraní</w:t>
            </w:r>
          </w:p>
          <w:p w14:paraId="03223452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23DE6CF" w14:textId="77777777" w:rsidR="00227DA1" w:rsidRPr="00EB0938" w:rsidRDefault="00227DA1" w:rsidP="00014CD9">
            <w:pPr>
              <w:jc w:val="center"/>
            </w:pPr>
            <w:r w:rsidRPr="00EB0938">
              <w:t>WIFI</w:t>
            </w:r>
            <w:r>
              <w:t xml:space="preserve"> min.</w:t>
            </w:r>
          </w:p>
        </w:tc>
        <w:tc>
          <w:tcPr>
            <w:tcW w:w="1456" w:type="pct"/>
            <w:shd w:val="clear" w:color="auto" w:fill="auto"/>
            <w:hideMark/>
          </w:tcPr>
          <w:p w14:paraId="2BCC75CF" w14:textId="77777777" w:rsidR="00227DA1" w:rsidRPr="00EB0938" w:rsidRDefault="00227DA1" w:rsidP="00014CD9">
            <w:r w:rsidRPr="00F21A2A">
              <w:t>802.11a/b/g/n</w:t>
            </w:r>
          </w:p>
        </w:tc>
      </w:tr>
      <w:tr w:rsidR="00227DA1" w:rsidRPr="00EB0938" w14:paraId="3A1B19AC" w14:textId="77777777" w:rsidTr="00014CD9">
        <w:trPr>
          <w:trHeight w:val="300"/>
        </w:trPr>
        <w:tc>
          <w:tcPr>
            <w:tcW w:w="2916" w:type="pct"/>
            <w:vMerge/>
            <w:shd w:val="clear" w:color="000000" w:fill="FFFFFF"/>
            <w:hideMark/>
          </w:tcPr>
          <w:p w14:paraId="1BED693C" w14:textId="77777777" w:rsidR="00227DA1" w:rsidRPr="00EB0938" w:rsidRDefault="00227DA1" w:rsidP="00014CD9"/>
        </w:tc>
        <w:tc>
          <w:tcPr>
            <w:tcW w:w="628" w:type="pct"/>
            <w:shd w:val="clear" w:color="000000" w:fill="FFFFFF"/>
            <w:hideMark/>
          </w:tcPr>
          <w:p w14:paraId="7DEAD0F3" w14:textId="77777777" w:rsidR="00227DA1" w:rsidRPr="00EB0938" w:rsidRDefault="00227DA1" w:rsidP="00014CD9">
            <w:pPr>
              <w:jc w:val="center"/>
            </w:pPr>
            <w:proofErr w:type="spellStart"/>
            <w:r w:rsidRPr="00EB0938">
              <w:t>Bluetooth</w:t>
            </w:r>
            <w:proofErr w:type="spellEnd"/>
          </w:p>
        </w:tc>
        <w:tc>
          <w:tcPr>
            <w:tcW w:w="1456" w:type="pct"/>
            <w:shd w:val="clear" w:color="auto" w:fill="auto"/>
            <w:hideMark/>
          </w:tcPr>
          <w:p w14:paraId="345EF649" w14:textId="77777777" w:rsidR="00227DA1" w:rsidRPr="00EB0938" w:rsidRDefault="00227DA1" w:rsidP="00014CD9">
            <w:r>
              <w:t>a</w:t>
            </w:r>
            <w:r w:rsidRPr="00EB0938">
              <w:t>no</w:t>
            </w:r>
          </w:p>
        </w:tc>
      </w:tr>
      <w:tr w:rsidR="00227DA1" w:rsidRPr="00EB0938" w14:paraId="4418617C" w14:textId="77777777" w:rsidTr="00014CD9">
        <w:trPr>
          <w:trHeight w:val="330"/>
        </w:trPr>
        <w:tc>
          <w:tcPr>
            <w:tcW w:w="2916" w:type="pct"/>
            <w:vMerge/>
            <w:shd w:val="clear" w:color="auto" w:fill="auto"/>
            <w:hideMark/>
          </w:tcPr>
          <w:p w14:paraId="3CB4BC71" w14:textId="77777777" w:rsidR="00227DA1" w:rsidRPr="00EB0938" w:rsidRDefault="00227DA1" w:rsidP="00014CD9"/>
        </w:tc>
        <w:tc>
          <w:tcPr>
            <w:tcW w:w="628" w:type="pct"/>
            <w:shd w:val="clear" w:color="000000" w:fill="FFFFFF"/>
            <w:hideMark/>
          </w:tcPr>
          <w:p w14:paraId="7CAE1689" w14:textId="77777777" w:rsidR="00227DA1" w:rsidRPr="00EB0938" w:rsidRDefault="00227DA1" w:rsidP="00014CD9">
            <w:pPr>
              <w:jc w:val="center"/>
            </w:pPr>
            <w:r w:rsidRPr="00EB0938">
              <w:t>NFC</w:t>
            </w:r>
          </w:p>
        </w:tc>
        <w:tc>
          <w:tcPr>
            <w:tcW w:w="1456" w:type="pct"/>
            <w:shd w:val="clear" w:color="auto" w:fill="auto"/>
            <w:hideMark/>
          </w:tcPr>
          <w:p w14:paraId="3DA37DA8" w14:textId="77777777" w:rsidR="00227DA1" w:rsidRPr="00EB0938" w:rsidRDefault="00227DA1" w:rsidP="00014CD9">
            <w:r>
              <w:t>ano</w:t>
            </w:r>
          </w:p>
        </w:tc>
      </w:tr>
      <w:tr w:rsidR="00227DA1" w:rsidRPr="00EB0938" w14:paraId="680BB5DA" w14:textId="77777777" w:rsidTr="00014CD9">
        <w:trPr>
          <w:trHeight w:val="330"/>
        </w:trPr>
        <w:tc>
          <w:tcPr>
            <w:tcW w:w="2916" w:type="pct"/>
            <w:vMerge/>
            <w:shd w:val="clear" w:color="auto" w:fill="auto"/>
          </w:tcPr>
          <w:p w14:paraId="7660A883" w14:textId="77777777" w:rsidR="00227DA1" w:rsidRPr="00EB0938" w:rsidRDefault="00227DA1" w:rsidP="00014CD9"/>
        </w:tc>
        <w:tc>
          <w:tcPr>
            <w:tcW w:w="628" w:type="pct"/>
            <w:shd w:val="clear" w:color="000000" w:fill="FFFFFF"/>
          </w:tcPr>
          <w:p w14:paraId="752D9AF4" w14:textId="77777777" w:rsidR="00227DA1" w:rsidRPr="00EB0938" w:rsidRDefault="00227DA1" w:rsidP="00014CD9">
            <w:pPr>
              <w:jc w:val="center"/>
            </w:pPr>
            <w:r>
              <w:t>USB-C</w:t>
            </w:r>
          </w:p>
        </w:tc>
        <w:tc>
          <w:tcPr>
            <w:tcW w:w="1456" w:type="pct"/>
            <w:shd w:val="clear" w:color="auto" w:fill="auto"/>
          </w:tcPr>
          <w:p w14:paraId="719E7C19" w14:textId="77777777" w:rsidR="00227DA1" w:rsidRDefault="00227DA1" w:rsidP="00014CD9">
            <w:r>
              <w:t>ano</w:t>
            </w:r>
          </w:p>
        </w:tc>
      </w:tr>
      <w:tr w:rsidR="00227DA1" w:rsidRPr="00EB0938" w14:paraId="3290DBB7" w14:textId="77777777" w:rsidTr="00014CD9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244C6641" w14:textId="77777777" w:rsidR="00227DA1" w:rsidRPr="00EB0938" w:rsidRDefault="00227DA1" w:rsidP="00014CD9">
            <w:proofErr w:type="spellStart"/>
            <w:r w:rsidRPr="00EB0938">
              <w:t>Dokovací</w:t>
            </w:r>
            <w:proofErr w:type="spellEnd"/>
            <w:r w:rsidRPr="00EB0938">
              <w:t xml:space="preserve"> modul</w:t>
            </w:r>
          </w:p>
          <w:p w14:paraId="21FBA155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4D690BED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51FB58F7" w14:textId="77777777" w:rsidR="00227DA1" w:rsidRPr="00EB0938" w:rsidRDefault="00227DA1" w:rsidP="00014CD9">
            <w:r w:rsidRPr="00EB0938">
              <w:t>ano</w:t>
            </w:r>
          </w:p>
        </w:tc>
      </w:tr>
      <w:tr w:rsidR="00227DA1" w:rsidRPr="00EB0938" w14:paraId="648F9D42" w14:textId="77777777" w:rsidTr="00014CD9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7A49C91A" w14:textId="77777777" w:rsidR="00227DA1" w:rsidRPr="00EB0938" w:rsidRDefault="00227DA1" w:rsidP="00014CD9">
            <w:r w:rsidRPr="00EB0938">
              <w:t xml:space="preserve">Kabel k </w:t>
            </w:r>
            <w:proofErr w:type="spellStart"/>
            <w:r w:rsidRPr="00EB0938">
              <w:t>dokovacímu</w:t>
            </w:r>
            <w:proofErr w:type="spellEnd"/>
            <w:r w:rsidRPr="00EB0938">
              <w:t xml:space="preserve"> modulu</w:t>
            </w:r>
          </w:p>
          <w:p w14:paraId="7BB4F18A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67A32827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  <w: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79484518" w14:textId="77777777" w:rsidR="00227DA1" w:rsidRPr="00EB0938" w:rsidRDefault="00227DA1" w:rsidP="00014CD9">
            <w:r w:rsidRPr="00EB0938">
              <w:t>1 m</w:t>
            </w:r>
          </w:p>
        </w:tc>
      </w:tr>
      <w:tr w:rsidR="00227DA1" w:rsidRPr="00EB0938" w14:paraId="7FDCCBB0" w14:textId="77777777" w:rsidTr="00014CD9">
        <w:trPr>
          <w:trHeight w:val="315"/>
        </w:trPr>
        <w:tc>
          <w:tcPr>
            <w:tcW w:w="2916" w:type="pct"/>
            <w:shd w:val="clear" w:color="auto" w:fill="auto"/>
            <w:hideMark/>
          </w:tcPr>
          <w:p w14:paraId="7490CA69" w14:textId="77777777" w:rsidR="00227DA1" w:rsidRPr="00EB0938" w:rsidRDefault="00227DA1" w:rsidP="00014CD9">
            <w:r w:rsidRPr="00EB0938">
              <w:t>Odolnost proti pádu</w:t>
            </w:r>
          </w:p>
          <w:p w14:paraId="71B20B63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66BCEDF" w14:textId="77777777" w:rsidR="00227DA1" w:rsidRPr="00EB0938" w:rsidRDefault="00227DA1" w:rsidP="00014CD9">
            <w:pPr>
              <w:jc w:val="center"/>
            </w:pPr>
            <w:r w:rsidRPr="00EB0938"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00EC2F3C" w14:textId="77777777" w:rsidR="00227DA1" w:rsidRPr="00EB0938" w:rsidRDefault="00227DA1" w:rsidP="00014CD9">
            <w:r w:rsidRPr="00EB0938">
              <w:t>ano</w:t>
            </w:r>
          </w:p>
        </w:tc>
      </w:tr>
      <w:tr w:rsidR="00227DA1" w:rsidRPr="00EB0938" w14:paraId="093580FB" w14:textId="77777777" w:rsidTr="00014CD9">
        <w:trPr>
          <w:trHeight w:val="375"/>
        </w:trPr>
        <w:tc>
          <w:tcPr>
            <w:tcW w:w="2916" w:type="pct"/>
            <w:shd w:val="clear" w:color="auto" w:fill="auto"/>
            <w:vAlign w:val="center"/>
            <w:hideMark/>
          </w:tcPr>
          <w:p w14:paraId="547F164C" w14:textId="77777777" w:rsidR="00227DA1" w:rsidRPr="00EB0938" w:rsidRDefault="00227DA1" w:rsidP="00014CD9">
            <w:r w:rsidRPr="00EB0938">
              <w:t>Krytí</w:t>
            </w:r>
          </w:p>
          <w:p w14:paraId="2A8754A0" w14:textId="77777777" w:rsidR="00227DA1" w:rsidRPr="00EB0938" w:rsidRDefault="00227DA1" w:rsidP="00014CD9">
            <w:r w:rsidRPr="00EB0938"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24C650FF" w14:textId="77777777" w:rsidR="00227DA1" w:rsidRPr="00EB0938" w:rsidRDefault="00227DA1" w:rsidP="00014CD9">
            <w:pPr>
              <w:jc w:val="center"/>
            </w:pPr>
            <w:r>
              <w:t>min.</w:t>
            </w:r>
            <w:r w:rsidRPr="00EB0938"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671E1C6D" w14:textId="77777777" w:rsidR="00227DA1" w:rsidRPr="00EB0938" w:rsidRDefault="00227DA1" w:rsidP="00014CD9">
            <w:r>
              <w:t>IP68</w:t>
            </w:r>
          </w:p>
        </w:tc>
      </w:tr>
      <w:tr w:rsidR="00227DA1" w:rsidRPr="00EB0938" w14:paraId="3B738101" w14:textId="77777777" w:rsidTr="00014CD9">
        <w:trPr>
          <w:trHeight w:val="615"/>
        </w:trPr>
        <w:tc>
          <w:tcPr>
            <w:tcW w:w="2916" w:type="pct"/>
            <w:shd w:val="clear" w:color="000000" w:fill="FFFFFF"/>
            <w:vAlign w:val="center"/>
          </w:tcPr>
          <w:p w14:paraId="64A1C891" w14:textId="77777777" w:rsidR="00227DA1" w:rsidRPr="00EB0938" w:rsidRDefault="00227DA1" w:rsidP="00014CD9">
            <w:r>
              <w:t>Baterie</w:t>
            </w:r>
          </w:p>
        </w:tc>
        <w:tc>
          <w:tcPr>
            <w:tcW w:w="628" w:type="pct"/>
            <w:shd w:val="clear" w:color="000000" w:fill="FFFFFF"/>
          </w:tcPr>
          <w:p w14:paraId="2D984309" w14:textId="77777777" w:rsidR="00227DA1" w:rsidRPr="00EB0938" w:rsidRDefault="00227DA1" w:rsidP="00014CD9">
            <w:pPr>
              <w:jc w:val="center"/>
            </w:pPr>
            <w:r>
              <w:t>min.</w:t>
            </w:r>
          </w:p>
        </w:tc>
        <w:tc>
          <w:tcPr>
            <w:tcW w:w="1456" w:type="pct"/>
            <w:shd w:val="clear" w:color="auto" w:fill="auto"/>
          </w:tcPr>
          <w:p w14:paraId="45507A60" w14:textId="77777777" w:rsidR="00227DA1" w:rsidRPr="00EB0938" w:rsidRDefault="00227DA1" w:rsidP="00014CD9">
            <w:r>
              <w:t xml:space="preserve">3500 </w:t>
            </w:r>
            <w:proofErr w:type="spellStart"/>
            <w:r>
              <w:t>mAh</w:t>
            </w:r>
            <w:proofErr w:type="spellEnd"/>
          </w:p>
        </w:tc>
      </w:tr>
    </w:tbl>
    <w:p w14:paraId="75F81C11" w14:textId="77777777" w:rsidR="00227DA1" w:rsidRPr="00994805" w:rsidRDefault="00227DA1" w:rsidP="00994805">
      <w:pPr>
        <w:ind w:left="284" w:hanging="5"/>
      </w:pPr>
    </w:p>
    <w:sectPr w:rsidR="00227DA1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6B909" w14:textId="77777777" w:rsidR="00066CB5" w:rsidRDefault="00066CB5" w:rsidP="00FF18EB">
      <w:pPr>
        <w:spacing w:line="240" w:lineRule="auto"/>
      </w:pPr>
      <w:r>
        <w:separator/>
      </w:r>
    </w:p>
    <w:p w14:paraId="65955573" w14:textId="77777777" w:rsidR="00066CB5" w:rsidRDefault="00066CB5"/>
  </w:endnote>
  <w:endnote w:type="continuationSeparator" w:id="0">
    <w:p w14:paraId="5C66F815" w14:textId="77777777" w:rsidR="00066CB5" w:rsidRDefault="00066CB5" w:rsidP="00FF18EB">
      <w:pPr>
        <w:spacing w:line="240" w:lineRule="auto"/>
      </w:pPr>
      <w:r>
        <w:continuationSeparator/>
      </w:r>
    </w:p>
    <w:p w14:paraId="754821A8" w14:textId="77777777" w:rsidR="00066CB5" w:rsidRDefault="00066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D18BE" w:rsidRPr="00ED18BE">
          <w:rPr>
            <w:rFonts w:ascii="Arial" w:hAnsi="Arial"/>
            <w:noProof/>
            <w:sz w:val="20"/>
            <w:lang w:val="cs-CZ"/>
          </w:rPr>
          <w:t>8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10996" w14:textId="77777777" w:rsidR="00066CB5" w:rsidRDefault="00066CB5" w:rsidP="00FF18EB">
      <w:pPr>
        <w:spacing w:line="240" w:lineRule="auto"/>
      </w:pPr>
      <w:r>
        <w:separator/>
      </w:r>
    </w:p>
    <w:p w14:paraId="0C397106" w14:textId="77777777" w:rsidR="00066CB5" w:rsidRDefault="00066CB5"/>
  </w:footnote>
  <w:footnote w:type="continuationSeparator" w:id="0">
    <w:p w14:paraId="44B2286F" w14:textId="77777777" w:rsidR="00066CB5" w:rsidRDefault="00066CB5" w:rsidP="00FF18EB">
      <w:pPr>
        <w:spacing w:line="240" w:lineRule="auto"/>
      </w:pPr>
      <w:r>
        <w:continuationSeparator/>
      </w:r>
    </w:p>
    <w:p w14:paraId="01C6152D" w14:textId="77777777" w:rsidR="00066CB5" w:rsidRDefault="00066C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28A0C14F" w:rsid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</w:t>
    </w:r>
    <w:r w:rsidR="00737969">
      <w:rPr>
        <w:lang w:val="cs-CZ"/>
      </w:rPr>
      <w:t>2242</w:t>
    </w:r>
    <w:r>
      <w:rPr>
        <w:lang w:val="cs-CZ"/>
      </w:rPr>
      <w:t>/</w:t>
    </w:r>
    <w:r w:rsidR="00737969">
      <w:rPr>
        <w:lang w:val="cs-CZ"/>
      </w:rPr>
      <w:t>2025</w:t>
    </w:r>
    <w:r>
      <w:rPr>
        <w:lang w:val="cs-CZ"/>
      </w:rPr>
      <w:t>/</w:t>
    </w:r>
    <w:r w:rsidR="00737969">
      <w:rPr>
        <w:lang w:val="cs-CZ"/>
      </w:rPr>
      <w:t>Do</w:t>
    </w:r>
  </w:p>
  <w:p w14:paraId="5E23B7EB" w14:textId="49ABE349" w:rsidR="00475D90" w:rsidRPr="0074273F" w:rsidRDefault="00475D90" w:rsidP="00475D90">
    <w:pPr>
      <w:pStyle w:val="Zhlav"/>
      <w:jc w:val="center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 w:rsidRPr="00475D90">
      <w:rPr>
        <w:lang w:val="cs-CZ"/>
      </w:rPr>
      <w:t>25V00000232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52FE"/>
    <w:rsid w:val="00066CB5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0F720A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050C7"/>
    <w:rsid w:val="00222AEA"/>
    <w:rsid w:val="00227DA1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714"/>
    <w:rsid w:val="00341AD8"/>
    <w:rsid w:val="003477DB"/>
    <w:rsid w:val="00351229"/>
    <w:rsid w:val="0035457C"/>
    <w:rsid w:val="00355E79"/>
    <w:rsid w:val="0037175F"/>
    <w:rsid w:val="00374192"/>
    <w:rsid w:val="00375955"/>
    <w:rsid w:val="00377FDB"/>
    <w:rsid w:val="00382BA9"/>
    <w:rsid w:val="00382D5D"/>
    <w:rsid w:val="003A1056"/>
    <w:rsid w:val="003B4838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0D8B"/>
    <w:rsid w:val="00415B16"/>
    <w:rsid w:val="00417243"/>
    <w:rsid w:val="0042712C"/>
    <w:rsid w:val="00427E17"/>
    <w:rsid w:val="00431845"/>
    <w:rsid w:val="004453FF"/>
    <w:rsid w:val="0044678A"/>
    <w:rsid w:val="00457F76"/>
    <w:rsid w:val="00475D90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18E7"/>
    <w:rsid w:val="004E74F7"/>
    <w:rsid w:val="004F3A6F"/>
    <w:rsid w:val="005013EF"/>
    <w:rsid w:val="00503008"/>
    <w:rsid w:val="005153A4"/>
    <w:rsid w:val="0051540C"/>
    <w:rsid w:val="005203B5"/>
    <w:rsid w:val="00521953"/>
    <w:rsid w:val="00521D38"/>
    <w:rsid w:val="0053716B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E69F2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D676D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37969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33D81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2111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0DF8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1F0E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560"/>
    <w:rsid w:val="00B76CBC"/>
    <w:rsid w:val="00B76F43"/>
    <w:rsid w:val="00B800B2"/>
    <w:rsid w:val="00B81F3D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36D1E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316B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18BE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576D1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33F64-CB57-4833-9241-81613B6A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2592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Dorazilová Tereza</cp:lastModifiedBy>
  <cp:revision>11</cp:revision>
  <cp:lastPrinted>2025-06-18T11:10:00Z</cp:lastPrinted>
  <dcterms:created xsi:type="dcterms:W3CDTF">2025-06-18T11:23:00Z</dcterms:created>
  <dcterms:modified xsi:type="dcterms:W3CDTF">2025-06-24T12:38:00Z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