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BC" w:rsidRDefault="00F23C9F">
      <w:pPr>
        <w:spacing w:after="60" w:line="240" w:lineRule="auto"/>
        <w:jc w:val="center"/>
        <w:rPr>
          <w:rFonts w:ascii="Georgia" w:eastAsia="Georgia" w:hAnsi="Georgia" w:cs="Georgia"/>
          <w:b/>
          <w:smallCaps/>
        </w:rPr>
      </w:pPr>
      <w:bookmarkStart w:id="0" w:name="_heading=h.gjdgxs" w:colFirst="0" w:colLast="0"/>
      <w:bookmarkEnd w:id="0"/>
      <w:r>
        <w:rPr>
          <w:rFonts w:ascii="Georgia" w:eastAsia="Georgia" w:hAnsi="Georgia" w:cs="Georgia"/>
          <w:smallCaps/>
        </w:rPr>
        <w:t>SMLOUVA O POSKYTOVÁNÍ SLUŽEB KOMUNIKAČNÍHO SYSTÉMU</w:t>
      </w:r>
      <w:r>
        <w:rPr>
          <w:rFonts w:ascii="Georgia" w:eastAsia="Georgia" w:hAnsi="Georgia" w:cs="Georgia"/>
          <w:b/>
          <w:smallCaps/>
        </w:rPr>
        <w:t xml:space="preserve"> MUNIPOLIS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4450715</wp:posOffset>
            </wp:positionH>
            <wp:positionV relativeFrom="paragraph">
              <wp:posOffset>227965</wp:posOffset>
            </wp:positionV>
            <wp:extent cx="1333452" cy="1561782"/>
            <wp:effectExtent l="0" t="0" r="0" b="0"/>
            <wp:wrapNone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452" cy="1561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9"/>
        <w:tblW w:w="66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9"/>
        <w:gridCol w:w="2219"/>
        <w:gridCol w:w="2220"/>
      </w:tblGrid>
      <w:tr w:rsidR="00F276BC">
        <w:trPr>
          <w:trHeight w:val="340"/>
        </w:trPr>
        <w:tc>
          <w:tcPr>
            <w:tcW w:w="2219" w:type="dxa"/>
            <w:shd w:val="clear" w:color="auto" w:fill="F2F2F2"/>
            <w:vAlign w:val="center"/>
          </w:tcPr>
          <w:p w:rsidR="00F276BC" w:rsidRDefault="00F276BC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2F2F2"/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Uživatel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Poskytovatel</w:t>
            </w:r>
          </w:p>
        </w:tc>
      </w:tr>
      <w:tr w:rsidR="00F276BC">
        <w:trPr>
          <w:trHeight w:val="340"/>
        </w:trPr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Název:</w:t>
            </w:r>
          </w:p>
        </w:tc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Město Vyškov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MUNIPOLIS s.r.o.</w:t>
            </w:r>
            <w:r>
              <w:rPr>
                <w:rFonts w:ascii="Georgia" w:eastAsia="Georgia" w:hAnsi="Georgia" w:cs="Georgia"/>
                <w:sz w:val="18"/>
                <w:szCs w:val="18"/>
              </w:rPr>
              <w:br/>
              <w:t>spisová značka: C 64961</w:t>
            </w:r>
          </w:p>
        </w:tc>
      </w:tr>
      <w:tr w:rsidR="00F276BC">
        <w:trPr>
          <w:trHeight w:val="340"/>
        </w:trPr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IČ:</w:t>
            </w:r>
          </w:p>
        </w:tc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00292427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29198950</w:t>
            </w:r>
          </w:p>
        </w:tc>
      </w:tr>
      <w:tr w:rsidR="00F276BC">
        <w:trPr>
          <w:trHeight w:val="340"/>
        </w:trPr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DIČ:</w:t>
            </w:r>
          </w:p>
        </w:tc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CZ00292427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CZ29198950</w:t>
            </w:r>
          </w:p>
        </w:tc>
      </w:tr>
      <w:tr w:rsidR="00F276BC">
        <w:trPr>
          <w:trHeight w:val="340"/>
        </w:trPr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Sídlo:</w:t>
            </w:r>
          </w:p>
        </w:tc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Masarykovo náměstí 108/1, 68201 Vyškov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Londýnské náměstí 886/4, 639 00 Brno</w:t>
            </w:r>
          </w:p>
        </w:tc>
      </w:tr>
      <w:tr w:rsidR="00F276BC">
        <w:trPr>
          <w:trHeight w:val="340"/>
        </w:trPr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Sp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. zn.:</w:t>
            </w:r>
          </w:p>
        </w:tc>
        <w:tc>
          <w:tcPr>
            <w:tcW w:w="2219" w:type="dxa"/>
            <w:vAlign w:val="center"/>
          </w:tcPr>
          <w:p w:rsidR="00F276BC" w:rsidRDefault="00F276BC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</w:p>
        </w:tc>
        <w:tc>
          <w:tcPr>
            <w:tcW w:w="2220" w:type="dxa"/>
            <w:shd w:val="clear" w:color="auto" w:fill="FFFFFF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 64961 vedená u Krajského soudu v Brně</w:t>
            </w:r>
          </w:p>
          <w:p w:rsidR="00F276BC" w:rsidRDefault="00F276BC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F276BC">
        <w:trPr>
          <w:trHeight w:val="340"/>
        </w:trPr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Za smluvní stranu podepisuje</w:t>
            </w:r>
          </w:p>
        </w:tc>
        <w:tc>
          <w:tcPr>
            <w:tcW w:w="2219" w:type="dxa"/>
            <w:vAlign w:val="center"/>
          </w:tcPr>
          <w:p w:rsidR="00F276BC" w:rsidRDefault="00F23C9F">
            <w:pPr>
              <w:tabs>
                <w:tab w:val="left" w:pos="709"/>
              </w:tabs>
              <w:spacing w:line="276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Karel Jurka, starosta města Vyškova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F276BC" w:rsidRDefault="00F23C9F">
            <w:pPr>
              <w:tabs>
                <w:tab w:val="left" w:pos="709"/>
              </w:tabs>
              <w:spacing w:line="276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Mgr. Ondřej Švrček, jednatel</w:t>
            </w:r>
          </w:p>
        </w:tc>
      </w:tr>
      <w:tr w:rsidR="00F276BC">
        <w:trPr>
          <w:trHeight w:val="340"/>
        </w:trPr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i/>
                <w:sz w:val="18"/>
                <w:szCs w:val="18"/>
              </w:rPr>
            </w:pPr>
            <w:r>
              <w:rPr>
                <w:rFonts w:ascii="Georgia" w:eastAsia="Georgia" w:hAnsi="Georgia" w:cs="Georgia"/>
                <w:i/>
                <w:sz w:val="18"/>
                <w:szCs w:val="18"/>
              </w:rPr>
              <w:t>dále jen</w:t>
            </w:r>
          </w:p>
        </w:tc>
        <w:tc>
          <w:tcPr>
            <w:tcW w:w="2219" w:type="dxa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i/>
                <w:sz w:val="18"/>
                <w:szCs w:val="18"/>
              </w:rPr>
            </w:pPr>
            <w:r>
              <w:rPr>
                <w:rFonts w:ascii="Georgia" w:eastAsia="Georgia" w:hAnsi="Georgia" w:cs="Georgia"/>
                <w:i/>
                <w:sz w:val="18"/>
                <w:szCs w:val="18"/>
              </w:rPr>
              <w:t>„uživatel“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i/>
                <w:sz w:val="18"/>
                <w:szCs w:val="18"/>
              </w:rPr>
            </w:pPr>
            <w:r>
              <w:rPr>
                <w:rFonts w:ascii="Georgia" w:eastAsia="Georgia" w:hAnsi="Georgia" w:cs="Georgia"/>
                <w:i/>
                <w:sz w:val="18"/>
                <w:szCs w:val="18"/>
              </w:rPr>
              <w:t>„poskytovatel“</w:t>
            </w:r>
          </w:p>
        </w:tc>
      </w:tr>
    </w:tbl>
    <w:p w:rsidR="00F276BC" w:rsidRDefault="00F276BC">
      <w:pPr>
        <w:spacing w:after="0" w:line="240" w:lineRule="auto"/>
        <w:rPr>
          <w:rFonts w:ascii="Georgia" w:eastAsia="Georgia" w:hAnsi="Georgia" w:cs="Georgia"/>
          <w:b/>
          <w:sz w:val="8"/>
          <w:szCs w:val="8"/>
        </w:rPr>
      </w:pPr>
    </w:p>
    <w:p w:rsidR="00F276BC" w:rsidRDefault="00F23C9F">
      <w:pPr>
        <w:pStyle w:val="Nadpis1"/>
        <w:numPr>
          <w:ilvl w:val="0"/>
          <w:numId w:val="3"/>
        </w:numPr>
        <w:spacing w:after="60"/>
        <w:ind w:left="0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Předmět smlouvy</w:t>
      </w:r>
    </w:p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 xml:space="preserve">Poskytovatel poskytuje uživateli nevýhradní licenci k užití 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 xml:space="preserve">komunikačního </w:t>
      </w:r>
      <w:r>
        <w:rPr>
          <w:rFonts w:ascii="Georgia" w:eastAsia="Georgia" w:hAnsi="Georgia" w:cs="Georgia"/>
          <w:b/>
          <w:sz w:val="18"/>
          <w:szCs w:val="18"/>
        </w:rPr>
        <w:t>systém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 xml:space="preserve">u </w:t>
      </w:r>
      <w:r>
        <w:rPr>
          <w:rFonts w:ascii="Georgia" w:eastAsia="Georgia" w:hAnsi="Georgia" w:cs="Georgia"/>
          <w:b/>
          <w:sz w:val="18"/>
          <w:szCs w:val="18"/>
        </w:rPr>
        <w:t>MUNIPOLIS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na dobu trvání smluvního vztahu, a to v rozsahu a způsobem potřebnými pro užívání služeb v souladu s jejich určením. Komunikační </w:t>
      </w:r>
      <w:r>
        <w:rPr>
          <w:rFonts w:ascii="Georgia" w:eastAsia="Georgia" w:hAnsi="Georgia" w:cs="Georgia"/>
          <w:sz w:val="18"/>
          <w:szCs w:val="18"/>
        </w:rPr>
        <w:t>systém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eastAsia="Georgia" w:hAnsi="Georgia" w:cs="Georgia"/>
          <w:sz w:val="18"/>
          <w:szCs w:val="18"/>
        </w:rPr>
        <w:t>MUNIPOLIS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umožňuje uživateli užívat systémy:</w:t>
      </w:r>
    </w:p>
    <w:p w:rsidR="00F276BC" w:rsidRDefault="00F23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 xml:space="preserve">Systém pro SMART komunikaci s občany </w:t>
      </w:r>
      <w:r>
        <w:rPr>
          <w:rFonts w:ascii="Georgia" w:eastAsia="Georgia" w:hAnsi="Georgia" w:cs="Georgia"/>
          <w:color w:val="000000"/>
          <w:sz w:val="14"/>
          <w:szCs w:val="14"/>
        </w:rPr>
        <w:t xml:space="preserve">(SMS až 4 800 ks/min, </w:t>
      </w:r>
      <w:r>
        <w:rPr>
          <w:rFonts w:ascii="Georgia" w:eastAsia="Georgia" w:hAnsi="Georgia" w:cs="Georgia"/>
          <w:b/>
          <w:color w:val="000000"/>
          <w:sz w:val="14"/>
          <w:szCs w:val="14"/>
        </w:rPr>
        <w:t>hlasové zprávy pro nevidomé a slabozraké</w:t>
      </w:r>
      <w:r>
        <w:rPr>
          <w:rFonts w:ascii="Georgia" w:eastAsia="Georgia" w:hAnsi="Georgia" w:cs="Georgia"/>
          <w:color w:val="000000"/>
          <w:sz w:val="14"/>
          <w:szCs w:val="14"/>
        </w:rPr>
        <w:t>, e-maily, zprávy do aplikace)</w:t>
      </w:r>
    </w:p>
    <w:p w:rsidR="00F276BC" w:rsidRDefault="00F23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>Mobilní aplikace pro chytré telefony (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 xml:space="preserve">Android i </w:t>
      </w:r>
      <w:proofErr w:type="spellStart"/>
      <w:r>
        <w:rPr>
          <w:rFonts w:ascii="Georgia" w:eastAsia="Georgia" w:hAnsi="Georgia" w:cs="Georgia"/>
          <w:b/>
          <w:color w:val="000000"/>
          <w:sz w:val="18"/>
          <w:szCs w:val="18"/>
        </w:rPr>
        <w:t>iOS</w:t>
      </w:r>
      <w:proofErr w:type="spellEnd"/>
      <w:r>
        <w:rPr>
          <w:rFonts w:ascii="Georgia" w:eastAsia="Georgia" w:hAnsi="Georgia" w:cs="Georgia"/>
          <w:b/>
          <w:color w:val="000000"/>
          <w:sz w:val="18"/>
          <w:szCs w:val="18"/>
        </w:rPr>
        <w:t xml:space="preserve"> </w:t>
      </w:r>
      <w:r>
        <w:rPr>
          <w:rFonts w:ascii="Georgia" w:eastAsia="Georgia" w:hAnsi="Georgia" w:cs="Georgia"/>
          <w:color w:val="000000"/>
          <w:sz w:val="18"/>
          <w:szCs w:val="18"/>
        </w:rPr>
        <w:t>s více než 100 000 staženími)</w:t>
      </w:r>
    </w:p>
    <w:p w:rsidR="00F276BC" w:rsidRDefault="00F23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>Systém na správu podnětů od občanů (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s dispečinkem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kontrolujícím relevantnost hlášení)</w:t>
      </w:r>
    </w:p>
    <w:p w:rsidR="00F276BC" w:rsidRDefault="00F23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>Systém pro tvorbu anket a participativních rozpočtů (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s ověřením unikátnosti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hlasu</w:t>
      </w:r>
      <w:r>
        <w:rPr>
          <w:rFonts w:ascii="Georgia" w:eastAsia="Georgia" w:hAnsi="Georgia" w:cs="Georgia"/>
          <w:color w:val="000000"/>
          <w:sz w:val="18"/>
          <w:szCs w:val="18"/>
        </w:rPr>
        <w:t>)</w:t>
      </w:r>
    </w:p>
    <w:p w:rsidR="00F276BC" w:rsidRDefault="00F23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Georgia" w:eastAsia="Georgia" w:hAnsi="Georgia" w:cs="Georgia"/>
          <w:b/>
          <w:color w:val="000000"/>
          <w:sz w:val="18"/>
          <w:szCs w:val="18"/>
        </w:rPr>
        <w:t xml:space="preserve">Dynamický webový profil </w:t>
      </w:r>
      <w:r>
        <w:rPr>
          <w:rFonts w:ascii="Georgia" w:eastAsia="Georgia" w:hAnsi="Georgia" w:cs="Georgia"/>
          <w:color w:val="000000"/>
          <w:sz w:val="18"/>
          <w:szCs w:val="18"/>
        </w:rPr>
        <w:t>samosprávy na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 xml:space="preserve"> </w:t>
      </w:r>
      <w:r>
        <w:rPr>
          <w:rFonts w:ascii="Georgia" w:eastAsia="Georgia" w:hAnsi="Georgia" w:cs="Georgia"/>
          <w:color w:val="000000"/>
          <w:sz w:val="18"/>
          <w:szCs w:val="18"/>
          <w:u w:val="single"/>
        </w:rPr>
        <w:t>www.</w:t>
      </w:r>
      <w:r>
        <w:rPr>
          <w:rFonts w:ascii="Georgia" w:eastAsia="Georgia" w:hAnsi="Georgia" w:cs="Georgia"/>
          <w:sz w:val="18"/>
          <w:szCs w:val="18"/>
          <w:u w:val="single"/>
        </w:rPr>
        <w:t>munipolis.cz</w:t>
      </w:r>
      <w:r>
        <w:rPr>
          <w:rFonts w:ascii="Georgia" w:eastAsia="Georgia" w:hAnsi="Georgia" w:cs="Georgia"/>
          <w:color w:val="000000"/>
          <w:sz w:val="18"/>
          <w:szCs w:val="18"/>
        </w:rPr>
        <w:t>.</w:t>
      </w:r>
    </w:p>
    <w:p w:rsidR="00F276BC" w:rsidRDefault="00F23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>Systém automatického propojení s </w:t>
      </w:r>
      <w:proofErr w:type="spellStart"/>
      <w:r>
        <w:rPr>
          <w:rFonts w:ascii="Georgia" w:eastAsia="Georgia" w:hAnsi="Georgia" w:cs="Georgia"/>
          <w:color w:val="000000"/>
          <w:sz w:val="18"/>
          <w:szCs w:val="18"/>
        </w:rPr>
        <w:t>facebookovými</w:t>
      </w:r>
      <w:proofErr w:type="spellEnd"/>
      <w:r>
        <w:rPr>
          <w:rFonts w:ascii="Georgia" w:eastAsia="Georgia" w:hAnsi="Georgia" w:cs="Georgia"/>
          <w:color w:val="000000"/>
          <w:sz w:val="18"/>
          <w:szCs w:val="18"/>
        </w:rPr>
        <w:t xml:space="preserve"> stránkami samosprávy</w:t>
      </w:r>
    </w:p>
    <w:p w:rsidR="00F276BC" w:rsidRDefault="00F23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 xml:space="preserve">Automatické propojení na 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Systém doplňkové výstrahy občanů (</w:t>
      </w:r>
      <w:hyperlink r:id="rId9">
        <w:r>
          <w:rPr>
            <w:rFonts w:ascii="Georgia" w:eastAsia="Georgia" w:hAnsi="Georgia" w:cs="Georgia"/>
            <w:color w:val="000000"/>
            <w:sz w:val="18"/>
            <w:szCs w:val="18"/>
            <w:u w:val="single"/>
          </w:rPr>
          <w:t>www.sdvo.cz</w:t>
        </w:r>
      </w:hyperlink>
      <w:r>
        <w:rPr>
          <w:rFonts w:ascii="Georgia" w:eastAsia="Georgia" w:hAnsi="Georgia" w:cs="Georgia"/>
          <w:b/>
          <w:color w:val="000000"/>
          <w:sz w:val="18"/>
          <w:szCs w:val="18"/>
        </w:rPr>
        <w:t>)</w:t>
      </w:r>
    </w:p>
    <w:p w:rsidR="00F276BC" w:rsidRDefault="00F23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Georgia" w:eastAsia="Georgia" w:hAnsi="Georgia" w:cs="Georgia"/>
          <w:b/>
          <w:color w:val="000000"/>
          <w:sz w:val="18"/>
          <w:szCs w:val="18"/>
        </w:rPr>
        <w:t>Systém propojení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s webovými stránkami (automatické zprávy e-mailem, do aplikace I.2 a na webový profil I.5) </w:t>
      </w:r>
    </w:p>
    <w:p w:rsidR="00F276BC" w:rsidRDefault="00F23C9F">
      <w:pPr>
        <w:pStyle w:val="Nadpis1"/>
        <w:numPr>
          <w:ilvl w:val="0"/>
          <w:numId w:val="3"/>
        </w:numPr>
        <w:spacing w:before="120" w:after="60"/>
        <w:ind w:left="0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Licence a cena</w:t>
      </w:r>
    </w:p>
    <w:tbl>
      <w:tblPr>
        <w:tblStyle w:val="aa"/>
        <w:tblW w:w="907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F276BC">
        <w:trPr>
          <w:trHeight w:val="2145"/>
        </w:trPr>
        <w:tc>
          <w:tcPr>
            <w:tcW w:w="9072" w:type="dxa"/>
            <w:shd w:val="clear" w:color="auto" w:fill="FFFFFF"/>
          </w:tcPr>
          <w:p w:rsidR="00F276BC" w:rsidRDefault="00F2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7" w:firstLine="22"/>
              <w:jc w:val="center"/>
              <w:rPr>
                <w:rFonts w:ascii="Georgia" w:eastAsia="Georgia" w:hAnsi="Georgia" w:cs="Georgia"/>
                <w:b/>
                <w:color w:val="000000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MUNIPOLIS</w:t>
            </w:r>
            <w:r>
              <w:rPr>
                <w:rFonts w:ascii="Georgia" w:eastAsia="Georgia" w:hAnsi="Georgia" w:cs="Georgia"/>
                <w:b/>
                <w:color w:val="000000"/>
                <w:sz w:val="16"/>
                <w:szCs w:val="16"/>
              </w:rPr>
              <w:t xml:space="preserve"> “OPTIMAL”</w:t>
            </w:r>
          </w:p>
          <w:p w:rsidR="00F276BC" w:rsidRDefault="00F2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firstLine="22"/>
              <w:jc w:val="center"/>
              <w:rPr>
                <w:rFonts w:ascii="Georgia" w:eastAsia="Georgia" w:hAnsi="Georgia" w:cs="Georgia"/>
                <w:b/>
                <w:color w:val="00B05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B050"/>
                <w:sz w:val="24"/>
                <w:szCs w:val="24"/>
              </w:rPr>
              <w:t>Zvýhodněná cena</w:t>
            </w:r>
            <w:r>
              <w:rPr>
                <w:rFonts w:ascii="Georgia" w:eastAsia="Georgia" w:hAnsi="Georgia" w:cs="Georgia"/>
                <w:b/>
                <w:color w:val="00B050"/>
                <w:sz w:val="24"/>
                <w:szCs w:val="24"/>
              </w:rPr>
              <w:t xml:space="preserve"> 5495 Kč bez DPH / měsíc</w:t>
            </w:r>
          </w:p>
          <w:p w:rsidR="00F276BC" w:rsidRDefault="00F2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" w:hanging="28"/>
              <w:jc w:val="both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Licence obsahuje celý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systém</w:t>
            </w: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 (I.1-I.8) </w:t>
            </w:r>
            <w:r>
              <w:rPr>
                <w:rFonts w:ascii="Georgia" w:eastAsia="Georgia" w:hAnsi="Georgia" w:cs="Georgia"/>
                <w:b/>
                <w:color w:val="000000"/>
                <w:sz w:val="18"/>
                <w:szCs w:val="18"/>
              </w:rPr>
              <w:t>pro všechny</w:t>
            </w:r>
            <w:r>
              <w:rPr>
                <w:rFonts w:ascii="Georgia" w:eastAsia="Georgia" w:hAnsi="Georgia" w:cs="Georgia"/>
                <w:color w:val="000000"/>
              </w:rPr>
              <w:t xml:space="preserve"> </w:t>
            </w:r>
            <w:r>
              <w:rPr>
                <w:rFonts w:ascii="Georgia" w:eastAsia="Georgia" w:hAnsi="Georgia" w:cs="Georgia"/>
                <w:b/>
                <w:color w:val="000000"/>
                <w:sz w:val="18"/>
                <w:szCs w:val="18"/>
              </w:rPr>
              <w:t>typy komunikace</w:t>
            </w: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. Zvýhodněná měsíční cena licence je platná po dobu, kdy samospráva nedosáhne MPK</w:t>
            </w:r>
            <w:r>
              <w:rPr>
                <w:rFonts w:ascii="Georgia" w:eastAsia="Georgia" w:hAnsi="Georgia" w:cs="Georgia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, který byl stanoven na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1750 </w:t>
            </w:r>
            <w:r>
              <w:rPr>
                <w:rFonts w:ascii="Georgia" w:eastAsia="Georgia" w:hAnsi="Georgia" w:cs="Georgia"/>
                <w:b/>
                <w:color w:val="000000"/>
                <w:sz w:val="18"/>
                <w:szCs w:val="18"/>
              </w:rPr>
              <w:t>kontaktů</w:t>
            </w: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. Po dosažení MPK bude cena licence navýšena na standardní cenu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10990 </w:t>
            </w:r>
            <w:r>
              <w:rPr>
                <w:rFonts w:ascii="Georgia" w:eastAsia="Georgia" w:hAnsi="Georgia" w:cs="Georgia"/>
                <w:b/>
                <w:color w:val="000000"/>
                <w:sz w:val="18"/>
                <w:szCs w:val="18"/>
              </w:rPr>
              <w:t>Kč bez DPH / měsíc.</w:t>
            </w: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 Navýšená cena je platná od měsíce, který následuje po měsíci, ve které nastalo dosažení MPK. Cena licence je uvedena při roční platbě.</w:t>
            </w:r>
          </w:p>
          <w:p w:rsidR="00F276BC" w:rsidRDefault="00F2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Georgia" w:eastAsia="Georgia" w:hAnsi="Georgia" w:cs="Georgia"/>
                <w:color w:val="000000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18"/>
                <w:szCs w:val="18"/>
              </w:rPr>
              <w:t>Online / telefonické školení ZDARMA. Balíček propagačních materiálů</w:t>
            </w: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 (aktuální FB posty, texty, manuál FB komunikace, bannery na web, články do zpravodaje) je k dispozici </w:t>
            </w:r>
            <w:r>
              <w:rPr>
                <w:rFonts w:ascii="Georgia" w:eastAsia="Georgia" w:hAnsi="Georgia" w:cs="Georgia"/>
                <w:b/>
                <w:color w:val="000000"/>
                <w:sz w:val="18"/>
                <w:szCs w:val="18"/>
              </w:rPr>
              <w:t>ZDARMA</w:t>
            </w: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.</w:t>
            </w:r>
          </w:p>
        </w:tc>
      </w:tr>
    </w:tbl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i/>
          <w:color w:val="000000"/>
          <w:sz w:val="16"/>
          <w:szCs w:val="16"/>
        </w:rPr>
      </w:pPr>
      <w:r>
        <w:rPr>
          <w:rFonts w:ascii="Georgia" w:eastAsia="Georgia" w:hAnsi="Georgia" w:cs="Georgia"/>
          <w:i/>
          <w:color w:val="000000"/>
          <w:sz w:val="16"/>
          <w:szCs w:val="16"/>
          <w:vertAlign w:val="superscript"/>
        </w:rPr>
        <w:t>1</w:t>
      </w:r>
      <w:r>
        <w:rPr>
          <w:rFonts w:ascii="Georgia" w:eastAsia="Georgia" w:hAnsi="Georgia" w:cs="Georgia"/>
          <w:i/>
          <w:color w:val="000000"/>
          <w:sz w:val="16"/>
          <w:szCs w:val="16"/>
        </w:rPr>
        <w:t>MPK – minimální počet registrovaných kontaktů pro efektivní SMART komunikaci. Je definován jako 25 % počtu voličů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eastAsia="Georgia" w:hAnsi="Georgia" w:cs="Georgia"/>
          <w:i/>
          <w:color w:val="000000"/>
          <w:sz w:val="16"/>
          <w:szCs w:val="16"/>
        </w:rPr>
        <w:t>účastnících se posledních komunálních voleb v dané samosprávě.</w:t>
      </w:r>
    </w:p>
    <w:p w:rsidR="00F276BC" w:rsidRDefault="00F276BC">
      <w:pPr>
        <w:spacing w:after="0" w:line="240" w:lineRule="auto"/>
        <w:jc w:val="both"/>
        <w:rPr>
          <w:rFonts w:ascii="Georgia" w:eastAsia="Georgia" w:hAnsi="Georgia" w:cs="Georgia"/>
          <w:i/>
          <w:sz w:val="16"/>
          <w:szCs w:val="16"/>
        </w:rPr>
      </w:pPr>
    </w:p>
    <w:p w:rsidR="00F276BC" w:rsidRDefault="00F23C9F">
      <w:pPr>
        <w:pStyle w:val="Nadpis1"/>
        <w:numPr>
          <w:ilvl w:val="0"/>
          <w:numId w:val="3"/>
        </w:numPr>
        <w:spacing w:after="60"/>
        <w:ind w:left="0" w:firstLine="345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18"/>
          <w:szCs w:val="18"/>
        </w:rPr>
        <w:t>Doplňkové služby (zvolte zaškrtnutím)</w:t>
      </w:r>
    </w:p>
    <w:p w:rsidR="00F276BC" w:rsidRDefault="00F23C9F">
      <w:pPr>
        <w:spacing w:before="60" w:after="6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sz w:val="18"/>
          <w:szCs w:val="18"/>
        </w:rPr>
        <w:t>Chytrý zpravodaj        ZÁKLAD /       NA MÍRU</w:t>
      </w:r>
      <w:r>
        <w:rPr>
          <w:rFonts w:ascii="Georgia" w:eastAsia="Georgia" w:hAnsi="Georgia" w:cs="Georgia"/>
          <w:sz w:val="18"/>
          <w:szCs w:val="18"/>
        </w:rPr>
        <w:t xml:space="preserve">. Měsíční cena </w:t>
      </w:r>
      <w:r>
        <w:rPr>
          <w:rFonts w:ascii="Georgia" w:eastAsia="Georgia" w:hAnsi="Georgia" w:cs="Georgia"/>
          <w:b/>
          <w:sz w:val="18"/>
          <w:szCs w:val="18"/>
        </w:rPr>
        <w:t xml:space="preserve">1490 Kč bez DPH </w:t>
      </w:r>
      <w:r>
        <w:rPr>
          <w:rFonts w:ascii="Georgia" w:eastAsia="Georgia" w:hAnsi="Georgia" w:cs="Georgia"/>
          <w:sz w:val="18"/>
          <w:szCs w:val="18"/>
        </w:rPr>
        <w:t>(při roční platbě).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3479</wp:posOffset>
                </wp:positionV>
                <wp:extent cx="168892" cy="168892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954" y="3720747"/>
                          <a:ext cx="118092" cy="11850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276BC" w:rsidRDefault="00F276B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79.5pt;margin-top:.25pt;width:13.3pt;height:1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" fillcolor="black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276BC" w:rsidRDefault="00F276B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0</wp:posOffset>
                </wp:positionV>
                <wp:extent cx="168892" cy="169306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954" y="3720747"/>
                          <a:ext cx="118092" cy="118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276BC" w:rsidRDefault="00F276B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146.25pt;margin-top:0;width:13.3pt;height:1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276BC" w:rsidRDefault="00F276B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314325</wp:posOffset>
                </wp:positionV>
                <wp:extent cx="168892" cy="168892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954" y="3720747"/>
                          <a:ext cx="118092" cy="118506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276BC" w:rsidRDefault="00F276B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0;margin-top:24.75pt;width:13.3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276BC" w:rsidRDefault="00F276B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276BC" w:rsidRDefault="00F276BC">
      <w:pPr>
        <w:spacing w:before="60" w:after="60" w:line="240" w:lineRule="auto"/>
        <w:ind w:left="283"/>
        <w:rPr>
          <w:rFonts w:ascii="Georgia" w:eastAsia="Georgia" w:hAnsi="Georgia" w:cs="Georgia"/>
          <w:sz w:val="18"/>
          <w:szCs w:val="18"/>
        </w:rPr>
      </w:pPr>
    </w:p>
    <w:p w:rsidR="00F276BC" w:rsidRDefault="00F23C9F">
      <w:pPr>
        <w:spacing w:before="60" w:after="60" w:line="240" w:lineRule="auto"/>
        <w:ind w:left="285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b/>
          <w:sz w:val="18"/>
          <w:szCs w:val="18"/>
        </w:rPr>
        <w:t>Profesionální propagační kampaň.</w:t>
      </w:r>
      <w:r>
        <w:rPr>
          <w:rFonts w:ascii="Georgia" w:eastAsia="Georgia" w:hAnsi="Georgia" w:cs="Georgia"/>
          <w:sz w:val="18"/>
          <w:szCs w:val="18"/>
        </w:rPr>
        <w:t xml:space="preserve"> Cena kampaně </w:t>
      </w:r>
      <w:r>
        <w:rPr>
          <w:rFonts w:ascii="Georgia" w:eastAsia="Georgia" w:hAnsi="Georgia" w:cs="Georgia"/>
          <w:b/>
          <w:sz w:val="18"/>
          <w:szCs w:val="18"/>
        </w:rPr>
        <w:t>_ _ _ _ _ _ _ Kč bez DPH</w:t>
      </w:r>
      <w:r>
        <w:rPr>
          <w:rFonts w:ascii="Georgia" w:eastAsia="Georgia" w:hAnsi="Georgia" w:cs="Georgia"/>
          <w:sz w:val="18"/>
          <w:szCs w:val="18"/>
        </w:rPr>
        <w:t>.</w:t>
      </w:r>
    </w:p>
    <w:p w:rsidR="00F276BC" w:rsidRDefault="00F23C9F">
      <w:pPr>
        <w:pStyle w:val="Nadpis1"/>
        <w:numPr>
          <w:ilvl w:val="0"/>
          <w:numId w:val="3"/>
        </w:numPr>
        <w:spacing w:before="240" w:after="60"/>
        <w:ind w:left="0" w:firstLine="345"/>
        <w:rPr>
          <w:rFonts w:ascii="Georgia" w:eastAsia="Georgia" w:hAnsi="Georgia" w:cs="Georgia"/>
        </w:rPr>
      </w:pPr>
      <w:bookmarkStart w:id="1" w:name="_heading=h.ushf2maq7qlu" w:colFirst="0" w:colLast="0"/>
      <w:bookmarkEnd w:id="1"/>
      <w:r>
        <w:rPr>
          <w:rFonts w:ascii="Georgia" w:eastAsia="Georgia" w:hAnsi="Georgia" w:cs="Georgia"/>
          <w:sz w:val="18"/>
          <w:szCs w:val="18"/>
        </w:rPr>
        <w:t xml:space="preserve">Platby, trvání smluvního vztahu, </w:t>
      </w:r>
      <w:r>
        <w:rPr>
          <w:rFonts w:ascii="Georgia" w:eastAsia="Georgia" w:hAnsi="Georgia" w:cs="Georgia"/>
          <w:color w:val="27B675"/>
          <w:sz w:val="18"/>
          <w:szCs w:val="18"/>
        </w:rPr>
        <w:t>jednoduché ukončení</w:t>
      </w:r>
    </w:p>
    <w:tbl>
      <w:tblPr>
        <w:tblStyle w:val="ab"/>
        <w:tblW w:w="918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1"/>
        <w:gridCol w:w="1446"/>
        <w:gridCol w:w="1445"/>
        <w:gridCol w:w="1445"/>
        <w:gridCol w:w="1445"/>
        <w:gridCol w:w="1863"/>
      </w:tblGrid>
      <w:tr w:rsidR="00F276BC">
        <w:trPr>
          <w:trHeight w:val="34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Doba plnění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Doba plnění celkem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Počet obyv. uživatele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Interval platby </w:t>
            </w:r>
            <w:r>
              <w:rPr>
                <w:rFonts w:ascii="Georgia" w:eastAsia="Georgia" w:hAnsi="Georgia" w:cs="Georgia"/>
                <w:b/>
                <w:sz w:val="12"/>
                <w:szCs w:val="12"/>
              </w:rPr>
              <w:t xml:space="preserve">(počet let)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Cena služby za 1 rok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B675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FFFFFF"/>
                <w:sz w:val="16"/>
                <w:szCs w:val="16"/>
              </w:rPr>
              <w:t>Cena služeb celkem</w:t>
            </w:r>
          </w:p>
        </w:tc>
      </w:tr>
      <w:tr w:rsidR="00F276BC">
        <w:trPr>
          <w:trHeight w:val="34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1.7.2025 - 30.6.2027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2 roky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20 800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1 za rok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83 820 Kč bez DPH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167 640 Kč bez DPH</w:t>
            </w:r>
          </w:p>
        </w:tc>
      </w:tr>
    </w:tbl>
    <w:p w:rsidR="00F276BC" w:rsidRDefault="00F276BC">
      <w:pPr>
        <w:spacing w:after="0" w:line="240" w:lineRule="auto"/>
        <w:jc w:val="both"/>
        <w:rPr>
          <w:rFonts w:ascii="Georgia" w:eastAsia="Georgia" w:hAnsi="Georgia" w:cs="Georgia"/>
          <w:sz w:val="18"/>
          <w:szCs w:val="18"/>
          <w:highlight w:val="white"/>
        </w:rPr>
      </w:pPr>
    </w:p>
    <w:p w:rsidR="00F276BC" w:rsidRDefault="00F276BC">
      <w:pPr>
        <w:spacing w:after="0" w:line="240" w:lineRule="auto"/>
        <w:jc w:val="both"/>
        <w:rPr>
          <w:rFonts w:ascii="Georgia" w:eastAsia="Georgia" w:hAnsi="Georgia" w:cs="Georgia"/>
          <w:sz w:val="18"/>
          <w:szCs w:val="18"/>
          <w:highlight w:val="white"/>
        </w:rPr>
      </w:pPr>
    </w:p>
    <w:p w:rsidR="00F276BC" w:rsidRDefault="00F276BC">
      <w:pPr>
        <w:spacing w:after="0" w:line="240" w:lineRule="auto"/>
        <w:jc w:val="both"/>
        <w:rPr>
          <w:rFonts w:ascii="Georgia" w:eastAsia="Georgia" w:hAnsi="Georgia" w:cs="Georgia"/>
          <w:sz w:val="18"/>
          <w:szCs w:val="18"/>
          <w:highlight w:val="white"/>
        </w:rPr>
      </w:pPr>
    </w:p>
    <w:p w:rsidR="00F276BC" w:rsidRDefault="00F23C9F">
      <w:pPr>
        <w:spacing w:after="0" w:line="240" w:lineRule="auto"/>
        <w:jc w:val="both"/>
        <w:rPr>
          <w:rFonts w:ascii="Georgia" w:eastAsia="Georgia" w:hAnsi="Georgia" w:cs="Georgia"/>
          <w:sz w:val="18"/>
          <w:szCs w:val="18"/>
          <w:highlight w:val="white"/>
        </w:rPr>
      </w:pPr>
      <w:r>
        <w:rPr>
          <w:rFonts w:ascii="Georgia" w:eastAsia="Georgia" w:hAnsi="Georgia" w:cs="Georgia"/>
          <w:sz w:val="18"/>
          <w:szCs w:val="18"/>
          <w:highlight w:val="white"/>
        </w:rPr>
        <w:lastRenderedPageBreak/>
        <w:t xml:space="preserve">Uživatel se zavazuje poskytovateli řádně a včas </w:t>
      </w:r>
      <w:r>
        <w:rPr>
          <w:rFonts w:ascii="Georgia" w:eastAsia="Georgia" w:hAnsi="Georgia" w:cs="Georgia"/>
          <w:b/>
          <w:sz w:val="18"/>
          <w:szCs w:val="18"/>
          <w:highlight w:val="white"/>
        </w:rPr>
        <w:t>hradit cenu</w:t>
      </w:r>
      <w:r>
        <w:rPr>
          <w:rFonts w:ascii="Georgia" w:eastAsia="Georgia" w:hAnsi="Georgia" w:cs="Georgia"/>
          <w:sz w:val="18"/>
          <w:szCs w:val="18"/>
          <w:highlight w:val="white"/>
        </w:rPr>
        <w:t xml:space="preserve"> stanovenou v tomto formuláři, a to na základě daňového dokladu vystaveného poskytovatelem. </w:t>
      </w:r>
    </w:p>
    <w:p w:rsidR="00F276BC" w:rsidRDefault="00F276BC">
      <w:pPr>
        <w:spacing w:after="0" w:line="240" w:lineRule="auto"/>
        <w:jc w:val="both"/>
        <w:rPr>
          <w:rFonts w:ascii="Georgia" w:eastAsia="Georgia" w:hAnsi="Georgia" w:cs="Georgia"/>
          <w:sz w:val="18"/>
          <w:szCs w:val="18"/>
          <w:highlight w:val="white"/>
        </w:rPr>
      </w:pPr>
    </w:p>
    <w:p w:rsidR="00F276BC" w:rsidRDefault="00F23C9F">
      <w:pPr>
        <w:numPr>
          <w:ilvl w:val="0"/>
          <w:numId w:val="4"/>
        </w:numPr>
        <w:spacing w:after="0" w:line="240" w:lineRule="auto"/>
        <w:jc w:val="both"/>
        <w:rPr>
          <w:rFonts w:ascii="Georgia" w:eastAsia="Georgia" w:hAnsi="Georgia" w:cs="Georgia"/>
          <w:sz w:val="18"/>
          <w:szCs w:val="18"/>
          <w:highlight w:val="white"/>
        </w:rPr>
      </w:pPr>
      <w:r>
        <w:rPr>
          <w:rFonts w:ascii="Georgia" w:eastAsia="Georgia" w:hAnsi="Georgia" w:cs="Georgia"/>
          <w:sz w:val="18"/>
          <w:szCs w:val="18"/>
          <w:highlight w:val="white"/>
        </w:rPr>
        <w:t>pro platbu za 1. rok užívání služby do 14 dnů od nabytí účinnosti této smlouvy a</w:t>
      </w:r>
    </w:p>
    <w:p w:rsidR="00F276BC" w:rsidRDefault="00F23C9F">
      <w:pPr>
        <w:numPr>
          <w:ilvl w:val="0"/>
          <w:numId w:val="4"/>
        </w:numPr>
        <w:spacing w:after="0" w:line="240" w:lineRule="auto"/>
        <w:jc w:val="both"/>
        <w:rPr>
          <w:rFonts w:ascii="Georgia" w:eastAsia="Georgia" w:hAnsi="Georgia" w:cs="Georgia"/>
          <w:sz w:val="18"/>
          <w:szCs w:val="18"/>
          <w:highlight w:val="white"/>
        </w:rPr>
      </w:pPr>
      <w:r>
        <w:rPr>
          <w:rFonts w:ascii="Georgia" w:eastAsia="Georgia" w:hAnsi="Georgia" w:cs="Georgia"/>
          <w:sz w:val="18"/>
          <w:szCs w:val="18"/>
          <w:highlight w:val="white"/>
        </w:rPr>
        <w:t>pro platbu za 2. rok  užívání do 14 dnů od 1. výročí nabytí účinnosti této smlouvy</w:t>
      </w:r>
    </w:p>
    <w:p w:rsidR="00F276BC" w:rsidRDefault="00F23C9F">
      <w:pPr>
        <w:spacing w:after="0" w:line="240" w:lineRule="auto"/>
        <w:jc w:val="both"/>
        <w:rPr>
          <w:rFonts w:ascii="Georgia" w:eastAsia="Georgia" w:hAnsi="Georgia" w:cs="Georgia"/>
          <w:sz w:val="18"/>
          <w:szCs w:val="18"/>
          <w:highlight w:val="white"/>
        </w:rPr>
      </w:pPr>
      <w:r>
        <w:rPr>
          <w:rFonts w:ascii="Georgia" w:eastAsia="Georgia" w:hAnsi="Georgia" w:cs="Georgia"/>
          <w:sz w:val="18"/>
          <w:szCs w:val="18"/>
          <w:highlight w:val="white"/>
        </w:rPr>
        <w:br/>
        <w:t>Uživatel je oprávněn vrátit poskytovateli fakturu, pokud nebude obsahovat všechny náležitosti daňového dokladu, bude neúplná nebo nesprávná. V takovém případě lhůta splatnosti neběží a začne běžet znovu až dnem doručení opravené nebo doplněné faktury uživateli.</w:t>
      </w:r>
    </w:p>
    <w:p w:rsidR="00F276BC" w:rsidRDefault="00F23C9F">
      <w:pPr>
        <w:spacing w:after="0" w:line="240" w:lineRule="auto"/>
        <w:jc w:val="both"/>
        <w:rPr>
          <w:rFonts w:ascii="Georgia" w:eastAsia="Georgia" w:hAnsi="Georgia" w:cs="Georgia"/>
          <w:b/>
          <w:sz w:val="18"/>
          <w:szCs w:val="18"/>
          <w:highlight w:val="white"/>
        </w:rPr>
      </w:pPr>
      <w:r>
        <w:rPr>
          <w:rFonts w:ascii="Georgia" w:eastAsia="Georgia" w:hAnsi="Georgia" w:cs="Georgia"/>
          <w:b/>
          <w:sz w:val="18"/>
          <w:szCs w:val="18"/>
          <w:highlight w:val="white"/>
        </w:rPr>
        <w:t xml:space="preserve">Tato smlouva se uzavírá na dobu určitou, a to od 1.7. 2025 do 30. 6. 2027. </w:t>
      </w:r>
    </w:p>
    <w:p w:rsidR="00F276BC" w:rsidRDefault="00F276BC">
      <w:pPr>
        <w:spacing w:after="0" w:line="240" w:lineRule="auto"/>
        <w:jc w:val="both"/>
        <w:rPr>
          <w:rFonts w:ascii="Georgia" w:eastAsia="Georgia" w:hAnsi="Georgia" w:cs="Georgia"/>
          <w:sz w:val="18"/>
          <w:szCs w:val="18"/>
        </w:rPr>
      </w:pPr>
    </w:p>
    <w:p w:rsidR="00F276BC" w:rsidRDefault="00F27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sz w:val="18"/>
          <w:szCs w:val="18"/>
        </w:rPr>
      </w:pPr>
    </w:p>
    <w:p w:rsidR="00F276BC" w:rsidRDefault="00F27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sz w:val="18"/>
          <w:szCs w:val="18"/>
        </w:rPr>
      </w:pPr>
    </w:p>
    <w:p w:rsidR="00F276BC" w:rsidRDefault="00F23C9F">
      <w:pPr>
        <w:pStyle w:val="Nadpis1"/>
        <w:numPr>
          <w:ilvl w:val="0"/>
          <w:numId w:val="3"/>
        </w:numPr>
        <w:spacing w:after="60"/>
        <w:ind w:left="0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Ceny komunikačních kanálů</w:t>
      </w:r>
    </w:p>
    <w:tbl>
      <w:tblPr>
        <w:tblStyle w:val="ac"/>
        <w:tblW w:w="91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813"/>
        <w:gridCol w:w="1814"/>
        <w:gridCol w:w="1813"/>
        <w:gridCol w:w="1814"/>
      </w:tblGrid>
      <w:tr w:rsidR="00F276BC">
        <w:trPr>
          <w:trHeight w:val="34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SMS zpráva do ČR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Hlasová zpráva </w:t>
            </w:r>
          </w:p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do ČR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Zpráva do mobilní aplikace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E-mailová zpráva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Podnět od občana</w:t>
            </w:r>
          </w:p>
        </w:tc>
      </w:tr>
      <w:tr w:rsidR="00F276BC">
        <w:trPr>
          <w:trHeight w:val="34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0,89 Kč bez DPH / ks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0,99 Kč bez DPH / 30 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b/>
                <w:color w:val="27B675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jc w:val="center"/>
              <w:rPr>
                <w:rFonts w:ascii="Georgia" w:eastAsia="Georgia" w:hAnsi="Georgia" w:cs="Georgia"/>
                <w:b/>
                <w:color w:val="27B675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6BC" w:rsidRDefault="00F23C9F">
            <w:pPr>
              <w:spacing w:before="40" w:after="40"/>
              <w:jc w:val="center"/>
              <w:rPr>
                <w:rFonts w:ascii="Georgia" w:eastAsia="Georgia" w:hAnsi="Georgia" w:cs="Georgia"/>
                <w:b/>
                <w:color w:val="27B675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27B675"/>
                <w:sz w:val="16"/>
                <w:szCs w:val="16"/>
              </w:rPr>
              <w:t>ZDARMA</w:t>
            </w:r>
          </w:p>
        </w:tc>
      </w:tr>
    </w:tbl>
    <w:p w:rsidR="00F276BC" w:rsidRDefault="00F23C9F">
      <w:pPr>
        <w:spacing w:after="0" w:line="240" w:lineRule="auto"/>
        <w:rPr>
          <w:rFonts w:ascii="Georgia" w:eastAsia="Georgia" w:hAnsi="Georgia" w:cs="Georgia"/>
          <w:i/>
          <w:sz w:val="16"/>
          <w:szCs w:val="16"/>
        </w:rPr>
      </w:pPr>
      <w:r>
        <w:rPr>
          <w:rFonts w:ascii="Georgia" w:eastAsia="Georgia" w:hAnsi="Georgia" w:cs="Georgia"/>
          <w:sz w:val="16"/>
          <w:szCs w:val="16"/>
          <w:vertAlign w:val="superscript"/>
        </w:rPr>
        <w:t>2</w:t>
      </w:r>
      <w:r>
        <w:rPr>
          <w:rFonts w:ascii="Georgia" w:eastAsia="Georgia" w:hAnsi="Georgia" w:cs="Georgia"/>
          <w:i/>
          <w:sz w:val="16"/>
          <w:szCs w:val="16"/>
        </w:rPr>
        <w:t>Cena za SMS je účtována při registraci a změně údajů občana, při přihlášení uživatele do systému a při rozesílce zpráv</w:t>
      </w:r>
    </w:p>
    <w:p w:rsidR="00F276BC" w:rsidRDefault="00F23C9F">
      <w:pPr>
        <w:pStyle w:val="Nadpis1"/>
        <w:numPr>
          <w:ilvl w:val="0"/>
          <w:numId w:val="3"/>
        </w:numPr>
        <w:spacing w:before="120" w:after="0"/>
        <w:ind w:left="0"/>
        <w:rPr>
          <w:rFonts w:ascii="Georgia" w:eastAsia="Georgia" w:hAnsi="Georgia" w:cs="Georgia"/>
          <w:sz w:val="18"/>
          <w:szCs w:val="18"/>
        </w:rPr>
      </w:pPr>
      <w:bookmarkStart w:id="2" w:name="_heading=h.30j0zll" w:colFirst="0" w:colLast="0"/>
      <w:bookmarkEnd w:id="2"/>
      <w:r>
        <w:rPr>
          <w:rFonts w:ascii="Georgia" w:eastAsia="Georgia" w:hAnsi="Georgia" w:cs="Georgia"/>
          <w:sz w:val="18"/>
          <w:szCs w:val="18"/>
        </w:rPr>
        <w:t>Ochrana osobních údajů</w:t>
      </w:r>
    </w:p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 xml:space="preserve">Smluvní strany prohlašují, že jsou si vědomy nezbytnosti správy a zpracování osobních údajů adresátů sdělení pro fungování </w:t>
      </w:r>
      <w:r>
        <w:rPr>
          <w:rFonts w:ascii="Georgia" w:eastAsia="Georgia" w:hAnsi="Georgia" w:cs="Georgia"/>
          <w:sz w:val="18"/>
          <w:szCs w:val="18"/>
        </w:rPr>
        <w:t>systém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u </w:t>
      </w:r>
      <w:r>
        <w:rPr>
          <w:rFonts w:ascii="Georgia" w:eastAsia="Georgia" w:hAnsi="Georgia" w:cs="Georgia"/>
          <w:sz w:val="18"/>
          <w:szCs w:val="18"/>
        </w:rPr>
        <w:t>MUNIPOLIS</w:t>
      </w:r>
      <w:r>
        <w:rPr>
          <w:rFonts w:ascii="Georgia" w:eastAsia="Georgia" w:hAnsi="Georgia" w:cs="Georgia"/>
          <w:color w:val="000000"/>
          <w:sz w:val="18"/>
          <w:szCs w:val="18"/>
        </w:rPr>
        <w:t>. Zavazují se dodržovat platné právní předpisy, zejména obecné nařízení o ochraně osobních údajů (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GDPR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) a zákon o zpracování osobních údajů. Uživatel se zavazuje poskytnout 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 xml:space="preserve">přístupy do </w:t>
      </w:r>
      <w:r>
        <w:rPr>
          <w:rFonts w:ascii="Georgia" w:eastAsia="Georgia" w:hAnsi="Georgia" w:cs="Georgia"/>
          <w:b/>
          <w:sz w:val="18"/>
          <w:szCs w:val="18"/>
        </w:rPr>
        <w:t>systém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u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jen oprávněným osobám. Uživatel je plně 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odpovědný za obsah a formu jím komunikovaných sdělení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, včetně odpovědnosti autorskoprávní. V případě marketingových sdělení se uživatel zavazuje zajistit 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dodržování všech norem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o regulaci reklamy a o zasílání obchodních sdělení podle platného zákona. Má-li být podle všech okolností příjemcem informace (adresátem notifikačního sdělení) 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nezletilá osoba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, zejména pak osoba mladší 15 let (např. v rámci školních kroužků apod.), uživatel se výslovně zavazuje zajistit souhlas jeho zákonného zástupce se zasíláním takových sdělení. Uživatel bere na vědomí, že jeho odpovědnost dle tohoto článku </w:t>
      </w:r>
      <w:r>
        <w:rPr>
          <w:rFonts w:ascii="Georgia" w:eastAsia="Georgia" w:hAnsi="Georgia" w:cs="Georgia"/>
          <w:sz w:val="18"/>
          <w:szCs w:val="18"/>
        </w:rPr>
        <w:t>smlouvy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nezaniká žádnou činností poskytovatele, jelikož stále zůstává odesílatelem sdělení.</w:t>
      </w:r>
    </w:p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b/>
          <w:color w:val="000000"/>
          <w:sz w:val="18"/>
          <w:szCs w:val="18"/>
        </w:rPr>
        <w:t>Smluvní strany tímto uzavírají smlouvu o zpracování osobních údajů</w:t>
      </w:r>
      <w:r>
        <w:rPr>
          <w:rFonts w:ascii="Georgia" w:eastAsia="Georgia" w:hAnsi="Georgia" w:cs="Georgia"/>
          <w:color w:val="000000"/>
          <w:sz w:val="18"/>
          <w:szCs w:val="18"/>
        </w:rPr>
        <w:t>, kdy uživatel je správcem a poskytovatel je zpracovatelem osobních údajů. Zpracovatel prohlašuje, že</w:t>
      </w:r>
    </w:p>
    <w:p w:rsidR="00F276BC" w:rsidRDefault="00F23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>bude zpracovávat osobní údaje pouze na základě doložených pokynů správce,</w:t>
      </w:r>
    </w:p>
    <w:p w:rsidR="00F276BC" w:rsidRDefault="00F23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 xml:space="preserve">zajistil, aby se osoby oprávněné zpracovávat osobní údaje zavázaly k mlčenlivosti nebo aby se na ně vztahovala zákonná povinnost mlčenlivosti a 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provedl vhodná technická a organizační opatření, aby zajistil úroveň zabezpečení odpovídající danému riziku</w:t>
      </w:r>
      <w:r>
        <w:rPr>
          <w:rFonts w:ascii="Georgia" w:eastAsia="Georgia" w:hAnsi="Georgia" w:cs="Georgia"/>
          <w:color w:val="000000"/>
          <w:sz w:val="18"/>
          <w:szCs w:val="18"/>
        </w:rPr>
        <w:t>,</w:t>
      </w:r>
    </w:p>
    <w:p w:rsidR="00F276BC" w:rsidRDefault="00F23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>bude správci nápomocen při vyřizování záležitostí vůči subjektům údajů i dozorovému úřadu.</w:t>
      </w:r>
    </w:p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b/>
          <w:color w:val="000000"/>
          <w:sz w:val="18"/>
          <w:szCs w:val="18"/>
        </w:rPr>
        <w:t>Uživatel tímto uděluje poskytovateli obecné povolení k zajištění plnění s využitím subdodavatelů</w:t>
      </w:r>
      <w:r>
        <w:rPr>
          <w:rFonts w:ascii="Georgia" w:eastAsia="Georgia" w:hAnsi="Georgia" w:cs="Georgia"/>
          <w:color w:val="000000"/>
          <w:sz w:val="18"/>
          <w:szCs w:val="18"/>
        </w:rPr>
        <w:t>, u nichž poskytovatel smlouvou stejného obsahu zajistí ochranu osobních údajů,</w:t>
      </w:r>
    </w:p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 xml:space="preserve">Práva a povinnosti uživatele a poskytovatele jsou dále konkrétně upravena v Podmínkách komunikačního </w:t>
      </w:r>
      <w:r>
        <w:rPr>
          <w:rFonts w:ascii="Georgia" w:eastAsia="Georgia" w:hAnsi="Georgia" w:cs="Georgia"/>
          <w:sz w:val="18"/>
          <w:szCs w:val="18"/>
        </w:rPr>
        <w:t>systém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u </w:t>
      </w:r>
      <w:r>
        <w:rPr>
          <w:rFonts w:ascii="Georgia" w:eastAsia="Georgia" w:hAnsi="Georgia" w:cs="Georgia"/>
          <w:sz w:val="18"/>
          <w:szCs w:val="18"/>
        </w:rPr>
        <w:t>MUNIPOLIS</w:t>
      </w:r>
      <w:r>
        <w:rPr>
          <w:rFonts w:ascii="Georgia" w:eastAsia="Georgia" w:hAnsi="Georgia" w:cs="Georgia"/>
          <w:color w:val="000000"/>
          <w:sz w:val="18"/>
          <w:szCs w:val="18"/>
        </w:rPr>
        <w:t>.</w:t>
      </w:r>
    </w:p>
    <w:p w:rsidR="00F276BC" w:rsidRDefault="00F23C9F">
      <w:pPr>
        <w:pStyle w:val="Nadpis1"/>
        <w:numPr>
          <w:ilvl w:val="0"/>
          <w:numId w:val="3"/>
        </w:numPr>
        <w:spacing w:after="0"/>
        <w:ind w:left="0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Závěrečné ujednání</w:t>
      </w:r>
    </w:p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 xml:space="preserve">Nedílnou součástí </w:t>
      </w:r>
      <w:r>
        <w:rPr>
          <w:rFonts w:ascii="Georgia" w:eastAsia="Georgia" w:hAnsi="Georgia" w:cs="Georgia"/>
          <w:sz w:val="18"/>
          <w:szCs w:val="18"/>
        </w:rPr>
        <w:t>smlouvy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je 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Technická specifikace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systémů a doplňkových služeb </w:t>
      </w:r>
      <w:r>
        <w:rPr>
          <w:rFonts w:ascii="Georgia" w:eastAsia="Georgia" w:hAnsi="Georgia" w:cs="Georgia"/>
          <w:sz w:val="18"/>
          <w:szCs w:val="18"/>
        </w:rPr>
        <w:t>systém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u </w:t>
      </w:r>
      <w:r>
        <w:rPr>
          <w:rFonts w:ascii="Georgia" w:eastAsia="Georgia" w:hAnsi="Georgia" w:cs="Georgia"/>
          <w:sz w:val="18"/>
          <w:szCs w:val="18"/>
        </w:rPr>
        <w:t>MUNIPOLIS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a Podmínky komunikačního </w:t>
      </w:r>
      <w:r>
        <w:rPr>
          <w:rFonts w:ascii="Georgia" w:eastAsia="Georgia" w:hAnsi="Georgia" w:cs="Georgia"/>
          <w:sz w:val="18"/>
          <w:szCs w:val="18"/>
        </w:rPr>
        <w:t>systém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u </w:t>
      </w:r>
      <w:r>
        <w:rPr>
          <w:rFonts w:ascii="Georgia" w:eastAsia="Georgia" w:hAnsi="Georgia" w:cs="Georgia"/>
          <w:sz w:val="18"/>
          <w:szCs w:val="18"/>
        </w:rPr>
        <w:t>MUNIPOLIS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(„</w:t>
      </w:r>
      <w:r>
        <w:rPr>
          <w:rFonts w:ascii="Georgia" w:eastAsia="Georgia" w:hAnsi="Georgia" w:cs="Georgia"/>
          <w:b/>
          <w:color w:val="000000"/>
          <w:sz w:val="18"/>
          <w:szCs w:val="18"/>
        </w:rPr>
        <w:t>Podmínky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“; </w:t>
      </w:r>
      <w:hyperlink r:id="rId10">
        <w:r>
          <w:rPr>
            <w:rFonts w:ascii="Georgia" w:eastAsia="Georgia" w:hAnsi="Georgia" w:cs="Georgia"/>
            <w:color w:val="000000"/>
            <w:sz w:val="18"/>
            <w:szCs w:val="18"/>
            <w:u w:val="single"/>
          </w:rPr>
          <w:t>www.</w:t>
        </w:r>
      </w:hyperlink>
      <w:hyperlink r:id="rId11">
        <w:r>
          <w:rPr>
            <w:rFonts w:ascii="Georgia" w:eastAsia="Georgia" w:hAnsi="Georgia" w:cs="Georgia"/>
            <w:sz w:val="18"/>
            <w:szCs w:val="18"/>
            <w:u w:val="single"/>
          </w:rPr>
          <w:t>munipolis.cz</w:t>
        </w:r>
      </w:hyperlink>
      <w:hyperlink r:id="rId12">
        <w:r>
          <w:rPr>
            <w:rFonts w:ascii="Georgia" w:eastAsia="Georgia" w:hAnsi="Georgia" w:cs="Georgia"/>
            <w:color w:val="000000"/>
            <w:sz w:val="18"/>
            <w:szCs w:val="18"/>
            <w:u w:val="single"/>
          </w:rPr>
          <w:t>/</w:t>
        </w:r>
        <w:proofErr w:type="spellStart"/>
        <w:r>
          <w:rPr>
            <w:rFonts w:ascii="Georgia" w:eastAsia="Georgia" w:hAnsi="Georgia" w:cs="Georgia"/>
            <w:color w:val="000000"/>
            <w:sz w:val="18"/>
            <w:szCs w:val="18"/>
            <w:u w:val="single"/>
          </w:rPr>
          <w:t>obchodni-podminky</w:t>
        </w:r>
        <w:proofErr w:type="spellEnd"/>
      </w:hyperlink>
      <w:r>
        <w:rPr>
          <w:rFonts w:ascii="Georgia" w:eastAsia="Georgia" w:hAnsi="Georgia" w:cs="Georgia"/>
          <w:color w:val="000000"/>
          <w:sz w:val="18"/>
          <w:szCs w:val="18"/>
        </w:rPr>
        <w:t xml:space="preserve">). S těmito dokumenty se uživatel před podpisem této </w:t>
      </w:r>
      <w:r>
        <w:rPr>
          <w:rFonts w:ascii="Georgia" w:eastAsia="Georgia" w:hAnsi="Georgia" w:cs="Georgia"/>
          <w:sz w:val="18"/>
          <w:szCs w:val="18"/>
        </w:rPr>
        <w:t>smlouvy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seznámil a souhlasí s nimi. Poskytovatel je oprávněn jednostranně měnit Podmínky nebo jejich část při změně technických, provozních, obchodních či organizačních podmínek na své straně nebo při změnách na trhu, a to v celém rozsahu. O všech změnách bude uživatel informován písemně nebo elektronickými prostředky s využitím údajů poskytnutých uživatelem, a to nejméně měsíc před nabytím účinnosti těchto změn. V případě, že uživatel s novými Podmínkami nebude souhlasit, je oprávněn tuto </w:t>
      </w:r>
      <w:r>
        <w:rPr>
          <w:rFonts w:ascii="Georgia" w:eastAsia="Georgia" w:hAnsi="Georgia" w:cs="Georgia"/>
          <w:sz w:val="18"/>
          <w:szCs w:val="18"/>
        </w:rPr>
        <w:t>smlouvu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vypovědět s měsíční výpovědní dobou. V případě, že uživatel </w:t>
      </w:r>
      <w:r>
        <w:rPr>
          <w:rFonts w:ascii="Georgia" w:eastAsia="Georgia" w:hAnsi="Georgia" w:cs="Georgia"/>
          <w:sz w:val="18"/>
          <w:szCs w:val="18"/>
        </w:rPr>
        <w:t>smlouvu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nevypoví, má se za to, že se změnou souhlasí. Pokud uživatel s novými Podmínkami nebude souhlasit a ani </w:t>
      </w:r>
      <w:r>
        <w:rPr>
          <w:rFonts w:ascii="Georgia" w:eastAsia="Georgia" w:hAnsi="Georgia" w:cs="Georgia"/>
          <w:sz w:val="18"/>
          <w:szCs w:val="18"/>
        </w:rPr>
        <w:t>smlouvu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nevypoví, je oprávněn od </w:t>
      </w:r>
      <w:r>
        <w:rPr>
          <w:rFonts w:ascii="Georgia" w:eastAsia="Georgia" w:hAnsi="Georgia" w:cs="Georgia"/>
          <w:sz w:val="18"/>
          <w:szCs w:val="18"/>
        </w:rPr>
        <w:t>smlouvy</w:t>
      </w:r>
      <w:r>
        <w:rPr>
          <w:rFonts w:ascii="Georgia" w:eastAsia="Georgia" w:hAnsi="Georgia" w:cs="Georgia"/>
          <w:color w:val="000000"/>
          <w:sz w:val="18"/>
          <w:szCs w:val="18"/>
        </w:rPr>
        <w:t xml:space="preserve"> odstoupit poskytovatel s měsíční výpovědní dobou.</w:t>
      </w:r>
    </w:p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 xml:space="preserve">Poskytovatel bere na vědomí, že tato smlouva bude zveřejněna v souladu s právem České republiky, zejména se zákonem č. 340/2015 Sb., o zvláštních podmínkách účinnosti některých smluv, uveřejňování těchto smluv a o  registru smluv (zákon o registru smluv), ve znění pozdějších předpisů. Poskytovatel prohlašuje, že žádná ze skutečností v této smlouvě uvedených není jeho obchodním tajemstvím. </w:t>
      </w:r>
    </w:p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 xml:space="preserve">Tato smlouva nabývá platnosti dnem jejích uzavření. Účinnosti nabývá tato smlouva dnem jejího uveřejnění v registru smluv. </w:t>
      </w:r>
    </w:p>
    <w:p w:rsidR="00F276BC" w:rsidRDefault="00F276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Georgia" w:eastAsia="Georgia" w:hAnsi="Georgia" w:cs="Georgia"/>
          <w:sz w:val="18"/>
          <w:szCs w:val="18"/>
        </w:rPr>
      </w:pPr>
    </w:p>
    <w:p w:rsidR="00F276BC" w:rsidRDefault="00F276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Georgia" w:eastAsia="Georgia" w:hAnsi="Georgia" w:cs="Georgia"/>
          <w:sz w:val="18"/>
          <w:szCs w:val="18"/>
        </w:rPr>
      </w:pPr>
    </w:p>
    <w:p w:rsidR="00F276BC" w:rsidRDefault="00F276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Georgia" w:eastAsia="Georgia" w:hAnsi="Georgia" w:cs="Georgia"/>
          <w:sz w:val="18"/>
          <w:szCs w:val="18"/>
        </w:rPr>
      </w:pPr>
    </w:p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tabs>
          <w:tab w:val="center" w:pos="4962"/>
        </w:tabs>
        <w:spacing w:before="120" w:after="0" w:line="240" w:lineRule="auto"/>
        <w:ind w:left="357" w:hanging="357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lastRenderedPageBreak/>
        <w:t>Zodpovědný obchodník (Jméno, Tel., E-mail)</w:t>
      </w:r>
      <w:r>
        <w:rPr>
          <w:rFonts w:ascii="Georgia" w:eastAsia="Georgia" w:hAnsi="Georgia" w:cs="Georgia"/>
          <w:color w:val="000000"/>
          <w:sz w:val="18"/>
          <w:szCs w:val="18"/>
        </w:rPr>
        <w:tab/>
        <w:t>Poznámka</w:t>
      </w:r>
    </w:p>
    <w:tbl>
      <w:tblPr>
        <w:tblStyle w:val="ad"/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4590"/>
      </w:tblGrid>
      <w:tr w:rsidR="00F276BC">
        <w:trPr>
          <w:trHeight w:val="254"/>
        </w:trPr>
        <w:tc>
          <w:tcPr>
            <w:tcW w:w="4590" w:type="dxa"/>
            <w:vAlign w:val="center"/>
          </w:tcPr>
          <w:p w:rsidR="00F276BC" w:rsidRPr="00A73F41" w:rsidRDefault="00A73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 w:rsidRPr="00A73F41">
              <w:rPr>
                <w:rFonts w:ascii="Georgia" w:eastAsia="Georgia" w:hAnsi="Georgia" w:cs="Georgia"/>
                <w:b/>
                <w:sz w:val="18"/>
                <w:szCs w:val="18"/>
              </w:rPr>
              <w:t>XXXXX</w:t>
            </w:r>
          </w:p>
        </w:tc>
        <w:tc>
          <w:tcPr>
            <w:tcW w:w="4590" w:type="dxa"/>
            <w:vAlign w:val="center"/>
          </w:tcPr>
          <w:p w:rsidR="00F276BC" w:rsidRDefault="00F2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Zpravodaj 12x rok</w:t>
            </w:r>
          </w:p>
        </w:tc>
      </w:tr>
    </w:tbl>
    <w:p w:rsidR="00F276BC" w:rsidRDefault="00F23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rFonts w:ascii="Georgia" w:eastAsia="Georgia" w:hAnsi="Georgia" w:cs="Georgia"/>
          <w:i/>
          <w:color w:val="000000"/>
          <w:sz w:val="16"/>
          <w:szCs w:val="16"/>
        </w:rPr>
      </w:pPr>
      <w:r>
        <w:rPr>
          <w:rFonts w:ascii="Georgia" w:eastAsia="Georgia" w:hAnsi="Georgia" w:cs="Georgia"/>
          <w:i/>
          <w:color w:val="000000"/>
          <w:sz w:val="16"/>
          <w:szCs w:val="16"/>
        </w:rPr>
        <w:t>Všechny ceny jsou uvedeny bez DPH.</w:t>
      </w:r>
    </w:p>
    <w:p w:rsidR="00F276BC" w:rsidRDefault="00F27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rFonts w:ascii="Georgia" w:eastAsia="Georgia" w:hAnsi="Georgia" w:cs="Georgia"/>
          <w:color w:val="000000"/>
          <w:sz w:val="10"/>
          <w:szCs w:val="10"/>
        </w:rPr>
      </w:pPr>
    </w:p>
    <w:p w:rsidR="00F276BC" w:rsidRDefault="00F276BC">
      <w:pPr>
        <w:spacing w:after="0" w:line="276" w:lineRule="auto"/>
        <w:rPr>
          <w:rFonts w:ascii="Georgia" w:eastAsia="Georgia" w:hAnsi="Georgia" w:cs="Georgia"/>
          <w:sz w:val="18"/>
          <w:szCs w:val="18"/>
        </w:rPr>
      </w:pPr>
    </w:p>
    <w:p w:rsidR="00F276BC" w:rsidRDefault="00F23C9F">
      <w:pPr>
        <w:spacing w:after="0" w:line="276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V Brně dne</w:t>
      </w:r>
      <w:r w:rsidR="00A73F41">
        <w:rPr>
          <w:rFonts w:ascii="Georgia" w:eastAsia="Georgia" w:hAnsi="Georgia" w:cs="Georgia"/>
          <w:sz w:val="18"/>
          <w:szCs w:val="18"/>
        </w:rPr>
        <w:t xml:space="preserve"> 26. června 2025</w:t>
      </w:r>
      <w:r w:rsidR="00A73F41">
        <w:rPr>
          <w:rFonts w:ascii="Georgia" w:eastAsia="Georgia" w:hAnsi="Georgia" w:cs="Georgia"/>
          <w:sz w:val="18"/>
          <w:szCs w:val="18"/>
        </w:rPr>
        <w:tab/>
      </w:r>
      <w:r w:rsidR="00A73F41">
        <w:rPr>
          <w:rFonts w:ascii="Georgia" w:eastAsia="Georgia" w:hAnsi="Georgia" w:cs="Georgia"/>
          <w:sz w:val="18"/>
          <w:szCs w:val="18"/>
        </w:rPr>
        <w:tab/>
      </w:r>
      <w:r w:rsidR="00A73F41">
        <w:rPr>
          <w:rFonts w:ascii="Georgia" w:eastAsia="Georgia" w:hAnsi="Georgia" w:cs="Georgia"/>
          <w:sz w:val="18"/>
          <w:szCs w:val="18"/>
        </w:rPr>
        <w:tab/>
      </w:r>
      <w:r w:rsidR="00A73F41">
        <w:rPr>
          <w:rFonts w:ascii="Georgia" w:eastAsia="Georgia" w:hAnsi="Georgia" w:cs="Georgia"/>
          <w:sz w:val="18"/>
          <w:szCs w:val="18"/>
        </w:rPr>
        <w:tab/>
      </w:r>
      <w:r w:rsidR="00A73F41"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>Ve Vyškově dne</w:t>
      </w:r>
      <w:r w:rsidR="00A73F41">
        <w:rPr>
          <w:rFonts w:ascii="Georgia" w:eastAsia="Georgia" w:hAnsi="Georgia" w:cs="Georgia"/>
          <w:sz w:val="18"/>
          <w:szCs w:val="18"/>
        </w:rPr>
        <w:t xml:space="preserve"> 27. června 2025</w:t>
      </w:r>
      <w:bookmarkStart w:id="3" w:name="_GoBack"/>
      <w:bookmarkEnd w:id="3"/>
    </w:p>
    <w:p w:rsidR="00F276BC" w:rsidRDefault="00F276BC">
      <w:pPr>
        <w:tabs>
          <w:tab w:val="left" w:pos="5325"/>
        </w:tabs>
        <w:spacing w:after="0" w:line="276" w:lineRule="auto"/>
        <w:rPr>
          <w:rFonts w:ascii="Georgia" w:eastAsia="Georgia" w:hAnsi="Georgia" w:cs="Georgia"/>
          <w:sz w:val="18"/>
          <w:szCs w:val="18"/>
        </w:rPr>
      </w:pPr>
    </w:p>
    <w:p w:rsidR="00F276BC" w:rsidRDefault="00F276BC">
      <w:pPr>
        <w:tabs>
          <w:tab w:val="left" w:pos="5325"/>
        </w:tabs>
        <w:spacing w:after="0" w:line="276" w:lineRule="auto"/>
        <w:rPr>
          <w:rFonts w:ascii="Georgia" w:eastAsia="Georgia" w:hAnsi="Georgia" w:cs="Georgia"/>
          <w:sz w:val="18"/>
          <w:szCs w:val="18"/>
        </w:rPr>
      </w:pPr>
    </w:p>
    <w:p w:rsidR="00F276BC" w:rsidRDefault="00F23C9F">
      <w:pPr>
        <w:tabs>
          <w:tab w:val="left" w:pos="5325"/>
        </w:tabs>
        <w:spacing w:after="0" w:line="276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ab/>
      </w:r>
    </w:p>
    <w:p w:rsidR="00F276BC" w:rsidRDefault="00F23C9F">
      <w:pPr>
        <w:tabs>
          <w:tab w:val="left" w:pos="709"/>
        </w:tabs>
        <w:spacing w:after="0" w:line="276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  <w:t>………………………………………………………. ………………………………………………………….</w:t>
      </w:r>
    </w:p>
    <w:p w:rsidR="00F276BC" w:rsidRDefault="00F23C9F">
      <w:pPr>
        <w:tabs>
          <w:tab w:val="left" w:pos="709"/>
        </w:tabs>
        <w:spacing w:after="0" w:line="276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za poskytovatele</w:t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  <w:t>za uživatele</w:t>
      </w:r>
    </w:p>
    <w:p w:rsidR="00F276BC" w:rsidRDefault="00F23C9F">
      <w:pPr>
        <w:tabs>
          <w:tab w:val="left" w:pos="709"/>
        </w:tabs>
        <w:spacing w:after="0" w:line="276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Mgr. Ondřej Švrček, jednatel</w:t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sz w:val="18"/>
          <w:szCs w:val="18"/>
        </w:rPr>
        <w:tab/>
        <w:t>Karel Jurka, starosta města Vyškova</w:t>
      </w:r>
    </w:p>
    <w:sectPr w:rsidR="00F276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341" w:rsidRDefault="00F23C9F">
      <w:pPr>
        <w:spacing w:after="0" w:line="240" w:lineRule="auto"/>
      </w:pPr>
      <w:r>
        <w:separator/>
      </w:r>
    </w:p>
  </w:endnote>
  <w:endnote w:type="continuationSeparator" w:id="0">
    <w:p w:rsidR="00AC0341" w:rsidRDefault="00F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Quattrocento San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6BC" w:rsidRDefault="00F276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6BC" w:rsidRDefault="00F23C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16"/>
        <w:szCs w:val="16"/>
      </w:rPr>
    </w:pP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begin"/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instrText>PAGE</w:instrText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separate"/>
    </w:r>
    <w:r>
      <w:rPr>
        <w:rFonts w:ascii="Quattrocento Sans" w:eastAsia="Quattrocento Sans" w:hAnsi="Quattrocento Sans" w:cs="Quattrocento Sans"/>
        <w:noProof/>
        <w:color w:val="000000"/>
        <w:sz w:val="16"/>
        <w:szCs w:val="16"/>
      </w:rPr>
      <w:t>1</w:t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end"/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tab/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tab/>
    </w:r>
    <w:r>
      <w:rPr>
        <w:rFonts w:ascii="Quattrocento Sans" w:eastAsia="Quattrocento Sans" w:hAnsi="Quattrocento Sans" w:cs="Quattrocento Sans"/>
        <w:i/>
        <w:color w:val="000000"/>
        <w:sz w:val="16"/>
        <w:szCs w:val="16"/>
      </w:rPr>
      <w:t>Licence a služby pro</w:t>
    </w:r>
    <w:r>
      <w:rPr>
        <w:rFonts w:ascii="Quattrocento Sans" w:eastAsia="Quattrocento Sans" w:hAnsi="Quattrocento Sans" w:cs="Quattrocento Sans"/>
        <w:b/>
        <w:i/>
        <w:color w:val="000000"/>
        <w:sz w:val="16"/>
        <w:szCs w:val="16"/>
      </w:rPr>
      <w:t xml:space="preserve"> samosprávu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6BC" w:rsidRDefault="00F276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341" w:rsidRDefault="00F23C9F">
      <w:pPr>
        <w:spacing w:after="0" w:line="240" w:lineRule="auto"/>
      </w:pPr>
      <w:r>
        <w:separator/>
      </w:r>
    </w:p>
  </w:footnote>
  <w:footnote w:type="continuationSeparator" w:id="0">
    <w:p w:rsidR="00AC0341" w:rsidRDefault="00F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6BC" w:rsidRDefault="00F276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6BC" w:rsidRDefault="00F23C9F">
    <w:pPr>
      <w:tabs>
        <w:tab w:val="center" w:pos="4536"/>
        <w:tab w:val="right" w:pos="9072"/>
        <w:tab w:val="left" w:pos="3310"/>
      </w:tabs>
      <w:spacing w:after="0" w:line="240" w:lineRule="auto"/>
      <w:ind w:left="4695"/>
      <w:jc w:val="right"/>
      <w:rPr>
        <w:rFonts w:ascii="Arial" w:eastAsia="Arial" w:hAnsi="Arial" w:cs="Arial"/>
        <w:b/>
        <w:i/>
        <w:color w:val="00B050"/>
        <w:sz w:val="16"/>
        <w:szCs w:val="16"/>
      </w:rPr>
    </w:pPr>
    <w:r>
      <w:rPr>
        <w:rFonts w:ascii="Arial" w:eastAsia="Arial" w:hAnsi="Arial" w:cs="Arial"/>
        <w:i/>
        <w:sz w:val="16"/>
        <w:szCs w:val="16"/>
      </w:rPr>
      <w:t xml:space="preserve"> </w:t>
    </w:r>
    <w:r>
      <w:rPr>
        <w:rFonts w:ascii="Arial" w:eastAsia="Arial" w:hAnsi="Arial" w:cs="Arial"/>
        <w:i/>
        <w:color w:val="00B050"/>
        <w:sz w:val="16"/>
        <w:szCs w:val="16"/>
      </w:rPr>
      <w:t xml:space="preserve"> </w:t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-38098</wp:posOffset>
          </wp:positionV>
          <wp:extent cx="1466603" cy="212748"/>
          <wp:effectExtent l="0" t="0" r="0" b="0"/>
          <wp:wrapNone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462" b="17462"/>
                  <a:stretch>
                    <a:fillRect/>
                  </a:stretch>
                </pic:blipFill>
                <pic:spPr>
                  <a:xfrm>
                    <a:off x="0" y="0"/>
                    <a:ext cx="1466603" cy="212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76BC" w:rsidRDefault="00F276BC">
    <w:pPr>
      <w:tabs>
        <w:tab w:val="center" w:pos="4536"/>
        <w:tab w:val="right" w:pos="9072"/>
        <w:tab w:val="left" w:pos="3840"/>
      </w:tabs>
      <w:spacing w:after="0" w:line="240" w:lineRule="auto"/>
      <w:ind w:left="4695"/>
      <w:rPr>
        <w:rFonts w:ascii="Arial" w:eastAsia="Arial" w:hAnsi="Arial" w:cs="Arial"/>
        <w:i/>
        <w:sz w:val="16"/>
        <w:szCs w:val="16"/>
      </w:rPr>
    </w:pPr>
  </w:p>
  <w:p w:rsidR="00F276BC" w:rsidRDefault="00F276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840"/>
      </w:tabs>
      <w:spacing w:after="0" w:line="240" w:lineRule="auto"/>
      <w:ind w:left="4695" w:hanging="4695"/>
      <w:jc w:val="right"/>
      <w:rPr>
        <w:rFonts w:ascii="Arial" w:eastAsia="Arial" w:hAnsi="Arial" w:cs="Arial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6BC" w:rsidRDefault="00F23C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F276BC" w:rsidRDefault="00F276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C5E35"/>
    <w:multiLevelType w:val="multilevel"/>
    <w:tmpl w:val="E4B23BC0"/>
    <w:lvl w:ilvl="0">
      <w:start w:val="1"/>
      <w:numFmt w:val="upperRoman"/>
      <w:pStyle w:val="Seznamsodrkami"/>
      <w:lvlText w:val="%1."/>
      <w:lvlJc w:val="center"/>
      <w:pPr>
        <w:ind w:left="3913" w:firstLine="340"/>
      </w:pPr>
      <w:rPr>
        <w:rFonts w:ascii="Quattrocento Sans" w:eastAsia="Quattrocento Sans" w:hAnsi="Quattrocento Sans" w:cs="Quattrocento Sans"/>
        <w:b/>
        <w:i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357" w:hanging="357"/>
      </w:pPr>
      <w:rPr>
        <w:color w:val="000000"/>
      </w:rPr>
    </w:lvl>
    <w:lvl w:ilvl="2">
      <w:start w:val="1"/>
      <w:numFmt w:val="lowerRoman"/>
      <w:lvlText w:val="%3)"/>
      <w:lvlJc w:val="left"/>
      <w:pPr>
        <w:ind w:left="737" w:hanging="3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F6F13DF"/>
    <w:multiLevelType w:val="multilevel"/>
    <w:tmpl w:val="1A7E9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022714"/>
    <w:multiLevelType w:val="multilevel"/>
    <w:tmpl w:val="E000DB90"/>
    <w:lvl w:ilvl="0">
      <w:start w:val="1"/>
      <w:numFmt w:val="bullet"/>
      <w:pStyle w:val="Nadpis1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pStyle w:val="lnek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D951D5"/>
    <w:multiLevelType w:val="multilevel"/>
    <w:tmpl w:val="629EB56C"/>
    <w:lvl w:ilvl="0">
      <w:start w:val="1"/>
      <w:numFmt w:val="decimal"/>
      <w:lvlText w:val="%1."/>
      <w:lvlJc w:val="left"/>
      <w:pPr>
        <w:ind w:left="45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BC"/>
    <w:rsid w:val="00A73F41"/>
    <w:rsid w:val="00AC0341"/>
    <w:rsid w:val="00F23C9F"/>
    <w:rsid w:val="00F2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207E"/>
  <w15:docId w15:val="{98A4E86B-4218-4429-8CA7-C5F84012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03A8"/>
    <w:pPr>
      <w:keepNext/>
      <w:numPr>
        <w:numId w:val="1"/>
      </w:numPr>
      <w:spacing w:after="12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9"/>
    <w:rsid w:val="009403A8"/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table" w:styleId="Mkatabulky">
    <w:name w:val="Table Grid"/>
    <w:basedOn w:val="Normlntabulka"/>
    <w:rsid w:val="0094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">
    <w:name w:val="Článek"/>
    <w:rsid w:val="009403A8"/>
    <w:pPr>
      <w:numPr>
        <w:ilvl w:val="1"/>
        <w:numId w:val="1"/>
      </w:num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Times New Roman"/>
      <w:kern w:val="3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6A4"/>
  </w:style>
  <w:style w:type="paragraph" w:styleId="Zpat">
    <w:name w:val="footer"/>
    <w:basedOn w:val="Normln"/>
    <w:link w:val="Zpat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6A4"/>
  </w:style>
  <w:style w:type="paragraph" w:styleId="Seznamsodrkami">
    <w:name w:val="List Bullet"/>
    <w:basedOn w:val="Normln"/>
    <w:uiPriority w:val="99"/>
    <w:rsid w:val="00181ACB"/>
    <w:pPr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18"/>
      <w:szCs w:val="24"/>
    </w:rPr>
  </w:style>
  <w:style w:type="character" w:styleId="Hypertextovodkaz">
    <w:name w:val="Hyperlink"/>
    <w:basedOn w:val="Standardnpsmoodstavce"/>
    <w:uiPriority w:val="99"/>
    <w:unhideWhenUsed/>
    <w:rsid w:val="003A528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528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52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B771D"/>
    <w:pPr>
      <w:spacing w:after="0" w:line="240" w:lineRule="auto"/>
      <w:ind w:firstLine="340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771D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77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BA9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F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B2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315D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749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2147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147C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6">
    <w:basedOn w:val="Normlntabulk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8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9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a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c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d"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bilnirozhlas.cz/obchodni-podmink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bilnirozhlas.cz/obchodni-podmink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obilnirozhlas.cz/obchodni-podmink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dvo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HOqbsCmfOnMqC7dj/ZM1hhnhA==">CgMxLjAyCGguZ2pkZ3hzMg5oLnVzaGYybWFxN3FsdTIJaC4zMGowemxsOAByITFwYkk3NkFBaW5Bazd1NTJpU1lTQlRqd2ZBZDlual9saQ==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Vyskov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Misa</dc:creator>
  <cp:lastModifiedBy>Minksová Lenka</cp:lastModifiedBy>
  <cp:revision>2</cp:revision>
  <dcterms:created xsi:type="dcterms:W3CDTF">2025-07-02T10:38:00Z</dcterms:created>
  <dcterms:modified xsi:type="dcterms:W3CDTF">2025-07-02T10:38:00Z</dcterms:modified>
</cp:coreProperties>
</file>