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A3020E" w:rsidRDefault="00806CAD" w:rsidP="00EB7C7F">
      <w:pPr>
        <w:pStyle w:val="Zhlavdohody"/>
      </w:pPr>
      <w:bookmarkStart w:id="0" w:name="_GoBack"/>
      <w:bookmarkEnd w:id="0"/>
      <w:r w:rsidRPr="00A3020E">
        <w:t>D</w:t>
      </w:r>
      <w:r w:rsidR="000C441B">
        <w:t xml:space="preserve"> O </w:t>
      </w:r>
      <w:r w:rsidR="002970C0">
        <w:t>D</w:t>
      </w:r>
      <w:r w:rsidR="000C441B">
        <w:t xml:space="preserve"> </w:t>
      </w:r>
      <w:r w:rsidR="002970C0">
        <w:t>A</w:t>
      </w:r>
      <w:r w:rsidR="000C441B">
        <w:t> </w:t>
      </w:r>
      <w:r w:rsidR="002970C0">
        <w:t>T</w:t>
      </w:r>
      <w:r w:rsidRPr="00A3020E">
        <w:t xml:space="preserve"> </w:t>
      </w:r>
      <w:r w:rsidR="002970C0">
        <w:t xml:space="preserve">E K č. </w:t>
      </w:r>
      <w:r w:rsidR="00CB2FC9">
        <w:t>1</w:t>
      </w:r>
      <w:r w:rsidR="002970C0">
        <w:t xml:space="preserve"> </w:t>
      </w:r>
    </w:p>
    <w:p w:rsidR="00434B82" w:rsidRPr="00A3020E" w:rsidRDefault="002970C0" w:rsidP="0007059F">
      <w:pPr>
        <w:pStyle w:val="Nzevdohody"/>
      </w:pPr>
      <w:r>
        <w:t xml:space="preserve">k dohodě </w:t>
      </w:r>
      <w:r w:rsidR="00343FD2" w:rsidRPr="00343FD2">
        <w:t xml:space="preserve">o vytvoření pracovních příležitostí v rámci veřejně prospěšných prací </w:t>
      </w:r>
      <w:r w:rsidR="00343FD2" w:rsidRPr="00343FD2">
        <w:br/>
        <w:t xml:space="preserve">a poskytnutí příspěvku, spolufinancovaného ze státního rozpočtu </w:t>
      </w:r>
      <w:r w:rsidR="00FE158E">
        <w:br/>
      </w:r>
      <w:r w:rsidR="00343FD2" w:rsidRPr="00343FD2">
        <w:t>a Evropského sociálního fondu</w:t>
      </w:r>
    </w:p>
    <w:p w:rsidR="00B320B8" w:rsidRPr="0069622A" w:rsidRDefault="00680B09" w:rsidP="00B320B8">
      <w:pPr>
        <w:pStyle w:val="Nzevdohody"/>
      </w:pPr>
      <w:r w:rsidRPr="00A3020E">
        <w:t xml:space="preserve">č. </w:t>
      </w:r>
      <w:r w:rsidR="00CB2FC9">
        <w:t>KAA-VF-31/2015</w:t>
      </w:r>
      <w:r w:rsidR="00246E43">
        <w:t xml:space="preserve"> ze dne </w:t>
      </w:r>
      <w:r w:rsidR="00CB2FC9">
        <w:t>31.8.2015</w:t>
      </w:r>
    </w:p>
    <w:p w:rsidR="00B320B8" w:rsidRPr="00A3020E" w:rsidRDefault="00B320B8" w:rsidP="00B320B8">
      <w:pPr>
        <w:rPr>
          <w:rFonts w:cs="Arial"/>
          <w:szCs w:val="20"/>
        </w:rPr>
      </w:pPr>
    </w:p>
    <w:p w:rsidR="00EA2E75" w:rsidRPr="00A3020E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A3020E">
        <w:rPr>
          <w:rFonts w:cs="Arial"/>
          <w:szCs w:val="20"/>
        </w:rPr>
        <w:t>u</w:t>
      </w:r>
      <w:r w:rsidR="00EA2E75" w:rsidRPr="00A3020E">
        <w:rPr>
          <w:rFonts w:cs="Arial"/>
          <w:szCs w:val="20"/>
        </w:rPr>
        <w:t>za</w:t>
      </w:r>
      <w:r w:rsidR="00FF77B1" w:rsidRPr="00A3020E">
        <w:rPr>
          <w:rFonts w:cs="Arial"/>
          <w:szCs w:val="20"/>
        </w:rPr>
        <w:t>vřen</w:t>
      </w:r>
      <w:r w:rsidR="006148BE">
        <w:rPr>
          <w:rFonts w:cs="Arial"/>
          <w:szCs w:val="20"/>
        </w:rPr>
        <w:t>ý</w:t>
      </w:r>
      <w:r w:rsidR="00FF77B1" w:rsidRPr="00A3020E">
        <w:rPr>
          <w:rFonts w:cs="Arial"/>
          <w:szCs w:val="20"/>
        </w:rPr>
        <w:t xml:space="preserve"> mezi</w:t>
      </w:r>
    </w:p>
    <w:p w:rsidR="00EA2E75" w:rsidRPr="00A3020E" w:rsidRDefault="00EA2E75">
      <w:pPr>
        <w:rPr>
          <w:rFonts w:cs="Arial"/>
          <w:szCs w:val="20"/>
        </w:rPr>
      </w:pPr>
    </w:p>
    <w:p w:rsidR="00DB7B52" w:rsidRPr="00C50627" w:rsidRDefault="00DB7B52" w:rsidP="00DB7B52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50627">
        <w:rPr>
          <w:rFonts w:cs="Arial"/>
          <w:szCs w:val="20"/>
        </w:rPr>
        <w:t>Úřadem práce České republiky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 xml:space="preserve">Ing. </w:t>
      </w:r>
      <w:r w:rsidR="00CB2FC9">
        <w:t>Dalibor Závacký</w:t>
      </w:r>
      <w:r w:rsidRPr="00A3020E">
        <w:rPr>
          <w:rFonts w:cs="Arial"/>
          <w:szCs w:val="20"/>
        </w:rPr>
        <w:t>,</w:t>
      </w:r>
      <w:r w:rsidR="00E51EF0">
        <w:rPr>
          <w:rFonts w:cs="Arial"/>
          <w:szCs w:val="20"/>
        </w:rPr>
        <w:t xml:space="preserve"> ředitel kontaktního pracoviště Karviná krajské pobočky Úřadu práce ČR v Ostravě</w:t>
      </w:r>
    </w:p>
    <w:p w:rsidR="00B72145" w:rsidRPr="00A3020E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>Dobrovského 1278</w:t>
      </w:r>
      <w:r w:rsidR="00CB2FC9">
        <w:t>/25, 170 00 Praha 7</w:t>
      </w:r>
    </w:p>
    <w:p w:rsidR="00B72145" w:rsidRDefault="00FF77B1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3411B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>72496991</w:t>
      </w:r>
    </w:p>
    <w:p w:rsidR="00DB7B52" w:rsidRPr="00A3020E" w:rsidRDefault="00DB7B52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 xml:space="preserve">tř. </w:t>
      </w:r>
      <w:r w:rsidR="00CB2FC9">
        <w:t>Osvobození č.p. 1388/60a, Nové Město, 735 06 Karviná 6</w:t>
      </w:r>
    </w:p>
    <w:p w:rsidR="00791358" w:rsidRPr="00A3020E" w:rsidRDefault="00791358" w:rsidP="009D6BC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63411B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63411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:rsidR="00791358" w:rsidRPr="00A3020E" w:rsidRDefault="00791358" w:rsidP="00FF77B1">
      <w:pPr>
        <w:tabs>
          <w:tab w:val="left" w:pos="2520"/>
        </w:tabs>
        <w:rPr>
          <w:rFonts w:cs="Arial"/>
          <w:szCs w:val="20"/>
        </w:rPr>
      </w:pPr>
    </w:p>
    <w:p w:rsidR="00CB2FC9" w:rsidRDefault="00791358" w:rsidP="00001E23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>STATUTÁRNÍ MĚSTO</w:t>
      </w:r>
      <w:r w:rsidR="00CB2FC9">
        <w:t xml:space="preserve"> KARVINÁ</w:t>
      </w:r>
      <w:r w:rsidR="00CB2FC9" w:rsidRPr="00CB2FC9">
        <w:rPr>
          <w:rFonts w:cs="Arial"/>
          <w:vanish/>
          <w:szCs w:val="20"/>
        </w:rPr>
        <w:t>0</w:t>
      </w:r>
    </w:p>
    <w:p w:rsidR="00B72145" w:rsidRPr="00A3020E" w:rsidRDefault="00CB2FC9" w:rsidP="00316BFD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CB2FC9">
        <w:rPr>
          <w:rFonts w:cs="Arial"/>
          <w:noProof/>
          <w:szCs w:val="20"/>
        </w:rPr>
        <w:t>Tomáš Hanzel</w:t>
      </w:r>
      <w:r>
        <w:rPr>
          <w:noProof/>
        </w:rPr>
        <w:t>, primátor STATUTÁRNÍHO MĚSTA KARVINÁ</w:t>
      </w:r>
    </w:p>
    <w:p w:rsidR="00B72145" w:rsidRPr="00A3020E" w:rsidRDefault="00CB2FC9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E505D3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791358" w:rsidRPr="00A3020E">
        <w:rPr>
          <w:rFonts w:cs="Arial"/>
          <w:szCs w:val="20"/>
        </w:rPr>
        <w:tab/>
      </w:r>
      <w:r w:rsidRPr="00CB2FC9">
        <w:rPr>
          <w:rFonts w:cs="Arial"/>
          <w:szCs w:val="20"/>
        </w:rPr>
        <w:t>Fryštátská č</w:t>
      </w:r>
      <w:r>
        <w:t>.p. 72/1, Fryštát, 733 01 Karviná 1</w:t>
      </w:r>
    </w:p>
    <w:p w:rsidR="00B72145" w:rsidRPr="00A3020E" w:rsidRDefault="00791358" w:rsidP="004F1A9F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63411B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>00297534</w:t>
      </w:r>
    </w:p>
    <w:p w:rsidR="00791358" w:rsidRPr="00A3020E" w:rsidRDefault="00791358" w:rsidP="00B320B8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63411B">
        <w:rPr>
          <w:rFonts w:cs="Arial"/>
          <w:szCs w:val="20"/>
        </w:rPr>
        <w:t>„</w:t>
      </w:r>
      <w:r w:rsidRPr="00A3020E">
        <w:rPr>
          <w:rFonts w:cs="Arial"/>
          <w:szCs w:val="20"/>
        </w:rPr>
        <w:t>zaměstnavatel</w:t>
      </w:r>
      <w:r w:rsidR="0063411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0C441B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druhé.</w:t>
      </w:r>
    </w:p>
    <w:p w:rsidR="00467F52" w:rsidRPr="00A3020E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Default="00661871" w:rsidP="004124F1">
      <w:pPr>
        <w:pStyle w:val="lnek"/>
      </w:pPr>
      <w:r w:rsidRPr="00A3020E">
        <w:t>Článek I</w:t>
      </w:r>
    </w:p>
    <w:p w:rsidR="00FB695A" w:rsidRPr="00FB780C" w:rsidRDefault="00FB695A" w:rsidP="00FB695A">
      <w:pPr>
        <w:pStyle w:val="lnek"/>
      </w:pPr>
      <w:r>
        <w:t>Účel dodatku</w:t>
      </w:r>
    </w:p>
    <w:p w:rsidR="00FB695A" w:rsidRPr="0089748F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  <w:r w:rsidRPr="0089748F">
        <w:rPr>
          <w:rFonts w:cs="Arial"/>
          <w:szCs w:val="20"/>
        </w:rPr>
        <w:t>Účelem tohoto dodatku je úprava výše uvedené dohody uzavřené mezi úřadem práce a </w:t>
      </w:r>
      <w:r>
        <w:rPr>
          <w:rFonts w:cs="Arial"/>
          <w:szCs w:val="20"/>
        </w:rPr>
        <w:t>zaměstnavatelem.</w:t>
      </w:r>
    </w:p>
    <w:p w:rsidR="002F33B3" w:rsidRDefault="002F33B3" w:rsidP="002F33B3">
      <w:pPr>
        <w:pStyle w:val="lnek"/>
      </w:pPr>
      <w:r w:rsidRPr="008F1A38">
        <w:t>Článek II</w:t>
      </w:r>
    </w:p>
    <w:p w:rsidR="00FB695A" w:rsidRPr="00FB780C" w:rsidRDefault="00FB695A" w:rsidP="00FB695A">
      <w:pPr>
        <w:pStyle w:val="lnek"/>
      </w:pPr>
      <w:r>
        <w:t>Předmět dodatku</w:t>
      </w:r>
    </w:p>
    <w:p w:rsidR="00FB695A" w:rsidRDefault="00FB695A" w:rsidP="00FB695A">
      <w:pPr>
        <w:pStyle w:val="Bezmezer"/>
        <w:spacing w:after="120"/>
      </w:pPr>
    </w:p>
    <w:p w:rsidR="00FB695A" w:rsidRDefault="00CB2FC9" w:rsidP="00FB695A">
      <w:pPr>
        <w:pStyle w:val="Bezmezer"/>
        <w:spacing w:after="120"/>
      </w:pPr>
      <w:r>
        <w:rPr>
          <w:noProof/>
        </w:rPr>
        <w:t>Dosavadní text článku II.1 dohody se nahrazuje textem:</w:t>
      </w:r>
    </w:p>
    <w:p w:rsidR="00E51EF0" w:rsidRDefault="00E51EF0" w:rsidP="00CB2FC9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>1a)</w:t>
      </w:r>
      <w:r w:rsidR="00CB2FC9">
        <w:rPr>
          <w:noProof/>
        </w:rPr>
        <w:t xml:space="preserve"> </w:t>
      </w:r>
      <w:r w:rsidR="00CB2FC9" w:rsidRPr="00095310">
        <w:rPr>
          <w:noProof/>
        </w:rPr>
        <w:t>Zaměstnavatel vytvoří níže uvedené pracovní příležitosti v rámci veřejně prospěšných prací (dále jen ''pracovní místa'') na dobu od </w:t>
      </w:r>
      <w:r w:rsidR="00CB2FC9">
        <w:rPr>
          <w:noProof/>
        </w:rPr>
        <w:t>1.9.2015</w:t>
      </w:r>
      <w:r w:rsidR="00CB2FC9" w:rsidRPr="00095310">
        <w:rPr>
          <w:noProof/>
        </w:rPr>
        <w:t xml:space="preserve"> do </w:t>
      </w:r>
      <w:r w:rsidR="00CB2FC9">
        <w:rPr>
          <w:noProof/>
        </w:rPr>
        <w:t>31.</w:t>
      </w:r>
      <w:r>
        <w:rPr>
          <w:noProof/>
        </w:rPr>
        <w:t>8.</w:t>
      </w:r>
      <w:r w:rsidR="00CB2FC9">
        <w:rPr>
          <w:noProof/>
        </w:rPr>
        <w:t>201</w:t>
      </w:r>
      <w:r>
        <w:rPr>
          <w:noProof/>
        </w:rPr>
        <w:t>6</w:t>
      </w:r>
      <w:r w:rsidR="00CB2FC9" w:rsidRPr="00095310">
        <w:rPr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945"/>
      </w:tblGrid>
      <w:tr w:rsidR="00E51EF0" w:rsidTr="00301740">
        <w:tc>
          <w:tcPr>
            <w:tcW w:w="28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Název profese</w:t>
            </w:r>
          </w:p>
        </w:tc>
        <w:tc>
          <w:tcPr>
            <w:tcW w:w="269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Počet pracovních míst</w:t>
            </w:r>
          </w:p>
        </w:tc>
        <w:tc>
          <w:tcPr>
            <w:tcW w:w="3945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Týdenní pracovní doba v hod. (úvazek)</w:t>
            </w:r>
          </w:p>
        </w:tc>
      </w:tr>
      <w:tr w:rsidR="00E51EF0" w:rsidTr="00301740">
        <w:tc>
          <w:tcPr>
            <w:tcW w:w="28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Asistent městské policie</w:t>
            </w:r>
          </w:p>
        </w:tc>
        <w:tc>
          <w:tcPr>
            <w:tcW w:w="269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2</w:t>
            </w:r>
          </w:p>
        </w:tc>
        <w:tc>
          <w:tcPr>
            <w:tcW w:w="3945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 40</w:t>
            </w:r>
          </w:p>
        </w:tc>
      </w:tr>
      <w:tr w:rsidR="00E51EF0" w:rsidTr="00301740">
        <w:tc>
          <w:tcPr>
            <w:tcW w:w="28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Celkem</w:t>
            </w:r>
          </w:p>
        </w:tc>
        <w:tc>
          <w:tcPr>
            <w:tcW w:w="269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2</w:t>
            </w:r>
          </w:p>
        </w:tc>
        <w:tc>
          <w:tcPr>
            <w:tcW w:w="3945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</w:p>
        </w:tc>
      </w:tr>
    </w:tbl>
    <w:p w:rsidR="00E51EF0" w:rsidRDefault="00E51EF0" w:rsidP="00E51EF0">
      <w:pPr>
        <w:pStyle w:val="BoddohodyII"/>
        <w:numPr>
          <w:ilvl w:val="0"/>
          <w:numId w:val="0"/>
        </w:numPr>
        <w:rPr>
          <w:noProof/>
        </w:rPr>
      </w:pPr>
      <w:r>
        <w:rPr>
          <w:noProof/>
        </w:rPr>
        <w:t>2b)</w:t>
      </w:r>
      <w:r w:rsidRPr="00E51EF0">
        <w:rPr>
          <w:noProof/>
        </w:rPr>
        <w:t xml:space="preserve"> </w:t>
      </w:r>
      <w:r w:rsidRPr="00095310">
        <w:rPr>
          <w:noProof/>
        </w:rPr>
        <w:t>Zaměstnavatel vytvoří níže uvedené pracovní příležitosti v rámci veřejně prospěšných prací (dále jen ''pracovní místa'') na dobu od </w:t>
      </w:r>
      <w:r>
        <w:rPr>
          <w:noProof/>
        </w:rPr>
        <w:t>1.9.2015</w:t>
      </w:r>
      <w:r w:rsidRPr="00095310">
        <w:rPr>
          <w:noProof/>
        </w:rPr>
        <w:t xml:space="preserve"> do </w:t>
      </w:r>
      <w:r>
        <w:rPr>
          <w:noProof/>
        </w:rPr>
        <w:t>31.1.2017</w:t>
      </w:r>
      <w:r w:rsidRPr="00095310">
        <w:rPr>
          <w:noProof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945"/>
      </w:tblGrid>
      <w:tr w:rsidR="00E51EF0" w:rsidTr="00301740">
        <w:tc>
          <w:tcPr>
            <w:tcW w:w="28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Název profese</w:t>
            </w:r>
          </w:p>
        </w:tc>
        <w:tc>
          <w:tcPr>
            <w:tcW w:w="269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Počet pracovních míst</w:t>
            </w:r>
          </w:p>
        </w:tc>
        <w:tc>
          <w:tcPr>
            <w:tcW w:w="3945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Týdenní pracovní doba v hod. (úvazek)</w:t>
            </w:r>
          </w:p>
        </w:tc>
      </w:tr>
      <w:tr w:rsidR="00E51EF0" w:rsidTr="00301740">
        <w:tc>
          <w:tcPr>
            <w:tcW w:w="28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Asistent městské policie</w:t>
            </w:r>
          </w:p>
        </w:tc>
        <w:tc>
          <w:tcPr>
            <w:tcW w:w="269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2</w:t>
            </w:r>
          </w:p>
        </w:tc>
        <w:tc>
          <w:tcPr>
            <w:tcW w:w="3945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           40</w:t>
            </w:r>
          </w:p>
        </w:tc>
      </w:tr>
      <w:tr w:rsidR="00E51EF0" w:rsidTr="00301740">
        <w:tc>
          <w:tcPr>
            <w:tcW w:w="28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Celkem</w:t>
            </w:r>
          </w:p>
        </w:tc>
        <w:tc>
          <w:tcPr>
            <w:tcW w:w="269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 xml:space="preserve">                  2</w:t>
            </w:r>
          </w:p>
        </w:tc>
        <w:tc>
          <w:tcPr>
            <w:tcW w:w="3945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</w:p>
        </w:tc>
      </w:tr>
    </w:tbl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CB2FC9" w:rsidP="00FB695A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:rsidR="00FB695A" w:rsidRPr="00095310" w:rsidRDefault="00E51EF0" w:rsidP="00FB695A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II.3  </w:t>
      </w:r>
      <w:r w:rsidR="00CB2FC9" w:rsidRPr="00095310">
        <w:rPr>
          <w:noProof/>
        </w:rPr>
        <w:t>Pracovní místa budou obsazována</w:t>
      </w:r>
      <w:r w:rsidR="00CB2FC9" w:rsidRPr="00CB2FC9">
        <w:rPr>
          <w:noProof/>
        </w:rPr>
        <w:t xml:space="preserve"> </w:t>
      </w:r>
      <w:r w:rsidR="00CB2FC9" w:rsidRPr="00095310">
        <w:rPr>
          <w:noProof/>
        </w:rPr>
        <w:t xml:space="preserve">zaměstnanci, které zaměstnavatel přijme do pracovního </w:t>
      </w:r>
      <w:r>
        <w:rPr>
          <w:noProof/>
        </w:rPr>
        <w:t xml:space="preserve">poměru po uzavření této dohody. </w:t>
      </w:r>
      <w:r w:rsidRPr="00095310">
        <w:rPr>
          <w:noProof/>
        </w:rPr>
        <w:t>Pracovní smlouva se zaměstnanci musí být uzavřena na dobu určitou, nejdéle do</w:t>
      </w:r>
      <w:r>
        <w:rPr>
          <w:noProof/>
        </w:rPr>
        <w:t xml:space="preserve"> 31.8.2016 podle bodu 1a) a nejdéle do 31.1.2017 podle bodu 1b).</w:t>
      </w:r>
      <w:r w:rsidRPr="00095310">
        <w:rPr>
          <w:noProof/>
        </w:rPr>
        <w:t> 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CB2FC9" w:rsidP="00FB695A">
      <w:pPr>
        <w:pStyle w:val="Bezmezer"/>
        <w:spacing w:after="120"/>
      </w:pPr>
      <w:r>
        <w:rPr>
          <w:noProof/>
        </w:rPr>
        <w:t>Dosavadní text článku II.4 dohody se nahrazuje textem:</w:t>
      </w:r>
    </w:p>
    <w:p w:rsidR="00FB695A" w:rsidRPr="00095310" w:rsidRDefault="00E51EF0" w:rsidP="00FB695A">
      <w:pPr>
        <w:pStyle w:val="BoddohodyII"/>
        <w:numPr>
          <w:ilvl w:val="0"/>
          <w:numId w:val="0"/>
        </w:numPr>
        <w:ind w:left="426" w:hanging="426"/>
      </w:pPr>
      <w:r>
        <w:rPr>
          <w:noProof/>
        </w:rPr>
        <w:t xml:space="preserve">II.4  </w:t>
      </w:r>
      <w:r w:rsidR="00CB2FC9" w:rsidRPr="00095310">
        <w:rPr>
          <w:noProof/>
        </w:rPr>
        <w:t xml:space="preserve">V případě, že pracovní poměr zaměstnance skončí přede dnem </w:t>
      </w:r>
      <w:r>
        <w:rPr>
          <w:noProof/>
        </w:rPr>
        <w:t>31.8</w:t>
      </w:r>
      <w:r w:rsidR="00CB2FC9">
        <w:rPr>
          <w:noProof/>
        </w:rPr>
        <w:t>.201</w:t>
      </w:r>
      <w:r>
        <w:rPr>
          <w:noProof/>
        </w:rPr>
        <w:t>6 podle bodu 1a) nebo přede dnem 31.1.2017 podle bodu 1b), z</w:t>
      </w:r>
      <w:r w:rsidR="00CB2FC9" w:rsidRPr="00095310">
        <w:rPr>
          <w:noProof/>
        </w:rPr>
        <w:t xml:space="preserve">aměstnavatel písemně oznámí úřadu práce den a způsob skončení tohoto pracovního poměru, a to nejpozději </w:t>
      </w:r>
      <w:r>
        <w:rPr>
          <w:noProof/>
        </w:rPr>
        <w:t>ke dni doložení výkazu „Vyúčtování mdzových nákladů – VPP“ za měsíc, ve kterém byl pracovní poměr skončen.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CB2FC9" w:rsidP="00FB695A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:rsidR="00CB2FC9" w:rsidRDefault="00CB2FC9" w:rsidP="00CB2FC9">
      <w:pPr>
        <w:pStyle w:val="BoddohodyII"/>
        <w:numPr>
          <w:ilvl w:val="0"/>
          <w:numId w:val="0"/>
        </w:numPr>
        <w:rPr>
          <w:noProof/>
        </w:rPr>
      </w:pPr>
      <w:r w:rsidRPr="00095310">
        <w:rPr>
          <w:noProof/>
        </w:rPr>
        <w:t xml:space="preserve">III.1  </w:t>
      </w:r>
      <w:r>
        <w:rPr>
          <w:noProof/>
        </w:rPr>
        <w:t xml:space="preserve">Úřad práce se zavazuje poskytnout zaměstnavateli příspěvek ve výši </w:t>
      </w:r>
      <w:r w:rsidR="00E51EF0">
        <w:rPr>
          <w:noProof/>
        </w:rPr>
        <w:t xml:space="preserve">vynaložených prostředků na mzdy nebo platy na zaměstnance, včetně pojistného na sociální zabezpečení, příspěvku na státní politiku zaměstnanosti a pojistného na veřejné </w:t>
      </w:r>
      <w:r>
        <w:rPr>
          <w:noProof/>
        </w:rPr>
        <w:t>zdravotní pojištění, které zaměstnavatel za sebe odvedl z vyměřovacího základu zaměstnance, maximálně však ve výši stanovené v níže uv</w:t>
      </w:r>
      <w:r w:rsidR="003225A7">
        <w:rPr>
          <w:noProof/>
        </w:rPr>
        <w:t>edeném přehledu.</w:t>
      </w:r>
    </w:p>
    <w:p w:rsidR="00E51EF0" w:rsidRDefault="00E51EF0" w:rsidP="00CB2FC9">
      <w:pPr>
        <w:pStyle w:val="BoddohodyII"/>
        <w:numPr>
          <w:ilvl w:val="0"/>
          <w:numId w:val="0"/>
        </w:num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843"/>
        <w:gridCol w:w="1843"/>
        <w:gridCol w:w="2102"/>
      </w:tblGrid>
      <w:tr w:rsidR="00E51EF0" w:rsidTr="00301740">
        <w:tc>
          <w:tcPr>
            <w:tcW w:w="2376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Název profese</w:t>
            </w:r>
          </w:p>
        </w:tc>
        <w:tc>
          <w:tcPr>
            <w:tcW w:w="1276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Období</w:t>
            </w:r>
          </w:p>
        </w:tc>
        <w:tc>
          <w:tcPr>
            <w:tcW w:w="184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Počet pracovních míst</w:t>
            </w:r>
          </w:p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</w:tc>
        <w:tc>
          <w:tcPr>
            <w:tcW w:w="184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Týdenní pracovní doba v hod.        (úvazek)</w:t>
            </w:r>
          </w:p>
        </w:tc>
        <w:tc>
          <w:tcPr>
            <w:tcW w:w="21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Max. měsíční výše příspěvku na 1 pracovní místo (Kč)</w:t>
            </w:r>
          </w:p>
        </w:tc>
      </w:tr>
      <w:tr w:rsidR="00E51EF0" w:rsidTr="00301740">
        <w:tc>
          <w:tcPr>
            <w:tcW w:w="2376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Asistent městské policie</w:t>
            </w:r>
          </w:p>
        </w:tc>
        <w:tc>
          <w:tcPr>
            <w:tcW w:w="1276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1.9.2015 – 31.8.2016</w:t>
            </w:r>
          </w:p>
        </w:tc>
        <w:tc>
          <w:tcPr>
            <w:tcW w:w="184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1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15000</w:t>
            </w:r>
          </w:p>
        </w:tc>
      </w:tr>
      <w:tr w:rsidR="00E51EF0" w:rsidTr="00301740">
        <w:tc>
          <w:tcPr>
            <w:tcW w:w="2376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rPr>
                <w:noProof/>
              </w:rPr>
            </w:pPr>
            <w:r>
              <w:rPr>
                <w:noProof/>
              </w:rPr>
              <w:t>Asistent městské policie</w:t>
            </w:r>
          </w:p>
        </w:tc>
        <w:tc>
          <w:tcPr>
            <w:tcW w:w="1276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1.9.2015 – 31.1.2017</w:t>
            </w:r>
          </w:p>
        </w:tc>
        <w:tc>
          <w:tcPr>
            <w:tcW w:w="184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102" w:type="dxa"/>
            <w:shd w:val="clear" w:color="auto" w:fill="auto"/>
          </w:tcPr>
          <w:p w:rsidR="00E51EF0" w:rsidRDefault="00E51EF0" w:rsidP="00301740">
            <w:pPr>
              <w:pStyle w:val="BoddohodyII"/>
              <w:numPr>
                <w:ilvl w:val="0"/>
                <w:numId w:val="0"/>
              </w:numPr>
              <w:jc w:val="center"/>
              <w:rPr>
                <w:noProof/>
              </w:rPr>
            </w:pPr>
            <w:r>
              <w:rPr>
                <w:noProof/>
              </w:rPr>
              <w:t>15000</w:t>
            </w:r>
          </w:p>
        </w:tc>
      </w:tr>
    </w:tbl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E51EF0" w:rsidP="00FB695A">
      <w:pPr>
        <w:keepNext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t>Součet poskytnutých měsíčních příspěvků nepřekročí částku 870000 Kč.</w:t>
      </w:r>
    </w:p>
    <w:p w:rsidR="00FB695A" w:rsidRDefault="00FB695A" w:rsidP="00FB695A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FB695A">
      <w:r w:rsidRPr="008F4CCC">
        <w:t xml:space="preserve">Dodatek je sepsán ve dvou vyhotoveních, z nichž jedno obdrží úřad práce a </w:t>
      </w:r>
      <w:r>
        <w:t>jedno zaměstnavatel / příjemce.</w:t>
      </w:r>
    </w:p>
    <w:p w:rsidR="00FB695A" w:rsidRPr="008F4CCC" w:rsidRDefault="00FB695A" w:rsidP="00FB695A"/>
    <w:p w:rsidR="00FB695A" w:rsidRDefault="00FB695A" w:rsidP="00FB695A">
      <w:r w:rsidRPr="008F4CCC">
        <w:t>Dodatek nabývá platnosti a účinnosti dnem jeho podpisu oběma smluvními stranami</w:t>
      </w:r>
      <w:r>
        <w:t>.</w:t>
      </w: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FB695A" w:rsidRDefault="00FB695A" w:rsidP="002F33B3">
      <w:pPr>
        <w:keepNext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CB2FC9" w:rsidP="002F33B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2F33B3" w:rsidRPr="008F1A38">
        <w:rPr>
          <w:rFonts w:cs="Arial"/>
          <w:szCs w:val="20"/>
        </w:rPr>
        <w:t xml:space="preserve"> dne </w:t>
      </w:r>
      <w:r w:rsidR="00A83427">
        <w:rPr>
          <w:rFonts w:cs="Arial"/>
          <w:szCs w:val="20"/>
        </w:rPr>
        <w:t>23.8.2016</w:t>
      </w: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33B3" w:rsidRDefault="002F33B3" w:rsidP="002F33B3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F33B3" w:rsidSect="003225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9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Pr="008F1A38" w:rsidRDefault="00CB2FC9" w:rsidP="002F33B3">
      <w:pPr>
        <w:keepNext/>
        <w:keepLines/>
        <w:jc w:val="center"/>
        <w:rPr>
          <w:rFonts w:cs="Arial"/>
          <w:szCs w:val="20"/>
        </w:rPr>
      </w:pPr>
      <w:r w:rsidRPr="00CB2FC9">
        <w:rPr>
          <w:rFonts w:cs="Arial"/>
          <w:szCs w:val="20"/>
        </w:rPr>
        <w:t>Tomáš Hanzel</w:t>
      </w:r>
      <w:r>
        <w:tab/>
      </w:r>
      <w:r>
        <w:br/>
        <w:t>primátor STATUTÁRNÍHO MĚSTA KARVINÁ</w:t>
      </w: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2F33B3" w:rsidRDefault="00CB2FC9" w:rsidP="002F33B3">
      <w:pPr>
        <w:keepNext/>
        <w:keepLines/>
        <w:jc w:val="center"/>
      </w:pPr>
      <w:r w:rsidRPr="00CB2FC9">
        <w:rPr>
          <w:rFonts w:cs="Arial"/>
          <w:szCs w:val="20"/>
        </w:rPr>
        <w:t xml:space="preserve">Ing. </w:t>
      </w:r>
      <w:r>
        <w:t>Dalibor Závacký</w:t>
      </w:r>
    </w:p>
    <w:p w:rsidR="00E51EF0" w:rsidRDefault="00E51EF0" w:rsidP="002F33B3">
      <w:pPr>
        <w:keepNext/>
        <w:keepLines/>
        <w:jc w:val="center"/>
      </w:pPr>
      <w:r>
        <w:t>ředitel kontaktního pracoviště Karviná krajské</w:t>
      </w:r>
    </w:p>
    <w:p w:rsidR="00E51EF0" w:rsidRDefault="00E51EF0" w:rsidP="002F33B3">
      <w:pPr>
        <w:keepNext/>
        <w:keepLines/>
        <w:jc w:val="center"/>
        <w:rPr>
          <w:rFonts w:cs="Arial"/>
          <w:szCs w:val="20"/>
        </w:rPr>
      </w:pPr>
      <w:r>
        <w:t>pobočky Úřadu práce ČR v Ostravě</w:t>
      </w:r>
    </w:p>
    <w:p w:rsidR="002F33B3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E51EF0" w:rsidRDefault="00E51EF0" w:rsidP="002F33B3">
      <w:pPr>
        <w:keepNext/>
        <w:keepLines/>
        <w:jc w:val="center"/>
        <w:rPr>
          <w:rFonts w:cs="Arial"/>
          <w:szCs w:val="20"/>
        </w:rPr>
        <w:sectPr w:rsidR="00E51EF0" w:rsidSect="003225A7">
          <w:type w:val="continuous"/>
          <w:pgSz w:w="1199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jc w:val="center"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rPr>
          <w:rFonts w:cs="Arial"/>
          <w:szCs w:val="20"/>
        </w:rPr>
      </w:pPr>
    </w:p>
    <w:p w:rsidR="002F33B3" w:rsidRPr="008F1A38" w:rsidRDefault="002F33B3" w:rsidP="002F33B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Za úřad práce vyřizuje:</w:t>
      </w:r>
      <w:r w:rsidRPr="008F1A38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>Martina Nováková</w:t>
      </w:r>
    </w:p>
    <w:p w:rsidR="002F33B3" w:rsidRDefault="002F33B3" w:rsidP="002F33B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CB2FC9" w:rsidRPr="00CB2FC9">
        <w:rPr>
          <w:rFonts w:cs="Arial"/>
          <w:szCs w:val="20"/>
        </w:rPr>
        <w:t>+ 420</w:t>
      </w:r>
      <w:r w:rsidR="00CB2FC9">
        <w:t xml:space="preserve"> 950 126 507</w:t>
      </w:r>
    </w:p>
    <w:sectPr w:rsidR="002F33B3" w:rsidSect="003225A7">
      <w:footerReference w:type="default" r:id="rId13"/>
      <w:headerReference w:type="first" r:id="rId14"/>
      <w:footerReference w:type="first" r:id="rId15"/>
      <w:type w:val="continuous"/>
      <w:pgSz w:w="1199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18" w:rsidRDefault="00811418">
      <w:r>
        <w:separator/>
      </w:r>
    </w:p>
  </w:endnote>
  <w:endnote w:type="continuationSeparator" w:id="0">
    <w:p w:rsidR="00811418" w:rsidRDefault="0081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13" w:rsidRDefault="00B91F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3" w:rsidRDefault="002F33B3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141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D7" w:rsidRDefault="003B79D7" w:rsidP="003B79D7">
    <w:pPr>
      <w:pStyle w:val="Zpat"/>
      <w:rPr>
        <w:i/>
        <w:sz w:val="16"/>
        <w:szCs w:val="16"/>
      </w:rPr>
    </w:pPr>
  </w:p>
  <w:p w:rsidR="002F33B3" w:rsidRDefault="002F33B3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11418"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51EF0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52" w:rsidRDefault="00386852">
    <w:pPr>
      <w:pStyle w:val="Zpat"/>
    </w:pPr>
    <w:r>
      <w:rPr>
        <w:i/>
        <w:sz w:val="16"/>
        <w:szCs w:val="16"/>
      </w:rPr>
      <w:t xml:space="preserve">MPSV </w:t>
    </w:r>
    <w:r w:rsidRPr="004E12BA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B2FC9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18" w:rsidRDefault="00811418">
      <w:r>
        <w:separator/>
      </w:r>
    </w:p>
  </w:footnote>
  <w:footnote w:type="continuationSeparator" w:id="0">
    <w:p w:rsidR="00811418" w:rsidRDefault="00811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13" w:rsidRDefault="00B91F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13" w:rsidRDefault="00B91F1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D9" w:rsidRDefault="00FD7529" w:rsidP="00FD7529">
    <w:pPr>
      <w:pStyle w:val="Zhlav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25pt;height:48pt">
          <v:imagedata r:id="rId1" o:title="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74" w:rsidRDefault="00343FD2">
    <w:pPr>
      <w:pStyle w:val="Zhlav"/>
    </w:pPr>
    <w:r>
      <w:rPr>
        <w:noProof/>
      </w:rPr>
      <w:pict>
        <v:group id="_x0000_s2055" style="position:absolute;left:0;text-align:left;margin-left:20pt;margin-top:-2.9pt;width:449.3pt;height:36.45pt;z-index:251657728" coordorigin="1417,7357" coordsize="8986,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logo ÚP" style="position:absolute;left:9697;top:7357;width:706;height:720;visibility:visible;mso-wrap-edited:f" wrapcoords="-460 0 -460 21150 21600 21150 21600 0 -460 0" o:allowoverlap="f">
            <v:imagedata r:id="rId1" o:title=""/>
          </v:shape>
          <v:shape id="_x0000_s2057" type="#_x0000_t75" style="position:absolute;left:1417;top:7357;width:5400;height:729;visibility:visible;mso-wrap-edited:f">
            <v:imagedata r:id="rId2" o:title=""/>
          </v:shape>
        </v:group>
        <o:OLEObject Type="Embed" ProgID="Word.Picture.8" ShapeID="_x0000_s2056" DrawAspect="Content" ObjectID="_1534672115" r:id="rId3"/>
        <o:OLEObject Type="Embed" ProgID="Word.Picture.8" ShapeID="_x0000_s2057" DrawAspect="Content" ObjectID="_1534672116" r:id="rId4"/>
      </w:pict>
    </w:r>
  </w:p>
  <w:p w:rsidR="00F230B3" w:rsidRDefault="00F230B3">
    <w:pPr>
      <w:pStyle w:val="Zhlav"/>
    </w:pPr>
  </w:p>
  <w:p w:rsidR="00F230B3" w:rsidRDefault="00F230B3">
    <w:pPr>
      <w:pStyle w:val="Zhlav"/>
    </w:pPr>
  </w:p>
  <w:p w:rsidR="00F230B3" w:rsidRDefault="00F230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46AE"/>
    <w:multiLevelType w:val="hybridMultilevel"/>
    <w:tmpl w:val="652A8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64513"/>
    <w:multiLevelType w:val="hybridMultilevel"/>
    <w:tmpl w:val="7A70A8AC"/>
    <w:lvl w:ilvl="0" w:tplc="EDE2A0E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5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oNotTrackMoves/>
  <w:defaultTabStop w:val="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418"/>
    <w:rsid w:val="00001E23"/>
    <w:rsid w:val="00020094"/>
    <w:rsid w:val="00025D30"/>
    <w:rsid w:val="00026239"/>
    <w:rsid w:val="00031B14"/>
    <w:rsid w:val="00032ABA"/>
    <w:rsid w:val="000343EF"/>
    <w:rsid w:val="000378AA"/>
    <w:rsid w:val="0005028D"/>
    <w:rsid w:val="00053F65"/>
    <w:rsid w:val="00054B41"/>
    <w:rsid w:val="00061D5B"/>
    <w:rsid w:val="0007059F"/>
    <w:rsid w:val="0007184F"/>
    <w:rsid w:val="00077CC2"/>
    <w:rsid w:val="00083005"/>
    <w:rsid w:val="00094459"/>
    <w:rsid w:val="000946BA"/>
    <w:rsid w:val="000953F7"/>
    <w:rsid w:val="000A0B04"/>
    <w:rsid w:val="000A36DF"/>
    <w:rsid w:val="000A4068"/>
    <w:rsid w:val="000B77C2"/>
    <w:rsid w:val="000B7D1B"/>
    <w:rsid w:val="000C441B"/>
    <w:rsid w:val="000D576A"/>
    <w:rsid w:val="000E5202"/>
    <w:rsid w:val="000F0704"/>
    <w:rsid w:val="00125D6E"/>
    <w:rsid w:val="0013298C"/>
    <w:rsid w:val="00134B72"/>
    <w:rsid w:val="001513CE"/>
    <w:rsid w:val="00152619"/>
    <w:rsid w:val="00153579"/>
    <w:rsid w:val="0016323A"/>
    <w:rsid w:val="00166A33"/>
    <w:rsid w:val="001671CD"/>
    <w:rsid w:val="00184270"/>
    <w:rsid w:val="00190DD0"/>
    <w:rsid w:val="00193944"/>
    <w:rsid w:val="001A637A"/>
    <w:rsid w:val="001B16D1"/>
    <w:rsid w:val="001B6881"/>
    <w:rsid w:val="001C745C"/>
    <w:rsid w:val="001D121E"/>
    <w:rsid w:val="001D22FC"/>
    <w:rsid w:val="001D26D3"/>
    <w:rsid w:val="001E0873"/>
    <w:rsid w:val="001E45E4"/>
    <w:rsid w:val="001E62C8"/>
    <w:rsid w:val="00200C48"/>
    <w:rsid w:val="0020384A"/>
    <w:rsid w:val="00220EA0"/>
    <w:rsid w:val="00224DC9"/>
    <w:rsid w:val="00227927"/>
    <w:rsid w:val="0023230B"/>
    <w:rsid w:val="00236259"/>
    <w:rsid w:val="0024649F"/>
    <w:rsid w:val="00246E43"/>
    <w:rsid w:val="00247736"/>
    <w:rsid w:val="00251E6F"/>
    <w:rsid w:val="002675EF"/>
    <w:rsid w:val="0027303C"/>
    <w:rsid w:val="002851DF"/>
    <w:rsid w:val="00285EE4"/>
    <w:rsid w:val="002930D9"/>
    <w:rsid w:val="00294867"/>
    <w:rsid w:val="002964EA"/>
    <w:rsid w:val="002970C0"/>
    <w:rsid w:val="002A38B1"/>
    <w:rsid w:val="002C08D2"/>
    <w:rsid w:val="002C114B"/>
    <w:rsid w:val="002C19C4"/>
    <w:rsid w:val="002C247E"/>
    <w:rsid w:val="002C4B1F"/>
    <w:rsid w:val="002D4B33"/>
    <w:rsid w:val="002E27D0"/>
    <w:rsid w:val="002E3AFA"/>
    <w:rsid w:val="002E5F39"/>
    <w:rsid w:val="002F33B3"/>
    <w:rsid w:val="002F35C3"/>
    <w:rsid w:val="002F7027"/>
    <w:rsid w:val="00301740"/>
    <w:rsid w:val="0031420E"/>
    <w:rsid w:val="00315FD0"/>
    <w:rsid w:val="00316253"/>
    <w:rsid w:val="00316BFD"/>
    <w:rsid w:val="003225A7"/>
    <w:rsid w:val="00322DB8"/>
    <w:rsid w:val="003307E5"/>
    <w:rsid w:val="003309DD"/>
    <w:rsid w:val="003432DE"/>
    <w:rsid w:val="00343FD2"/>
    <w:rsid w:val="00345E73"/>
    <w:rsid w:val="00347FC3"/>
    <w:rsid w:val="00360E5E"/>
    <w:rsid w:val="0037036B"/>
    <w:rsid w:val="00374C32"/>
    <w:rsid w:val="0037635A"/>
    <w:rsid w:val="00377147"/>
    <w:rsid w:val="00380730"/>
    <w:rsid w:val="00386784"/>
    <w:rsid w:val="00386852"/>
    <w:rsid w:val="003A548D"/>
    <w:rsid w:val="003B79D7"/>
    <w:rsid w:val="003C6435"/>
    <w:rsid w:val="003D0A3B"/>
    <w:rsid w:val="003D703F"/>
    <w:rsid w:val="003D72A2"/>
    <w:rsid w:val="003E3A8A"/>
    <w:rsid w:val="003E7E6F"/>
    <w:rsid w:val="003F3275"/>
    <w:rsid w:val="003F4865"/>
    <w:rsid w:val="00410842"/>
    <w:rsid w:val="004124F1"/>
    <w:rsid w:val="00433B00"/>
    <w:rsid w:val="00434B82"/>
    <w:rsid w:val="00436286"/>
    <w:rsid w:val="004367FD"/>
    <w:rsid w:val="004521DB"/>
    <w:rsid w:val="00455BE3"/>
    <w:rsid w:val="00457204"/>
    <w:rsid w:val="00463006"/>
    <w:rsid w:val="00465023"/>
    <w:rsid w:val="00467F52"/>
    <w:rsid w:val="004734CD"/>
    <w:rsid w:val="004758D1"/>
    <w:rsid w:val="00476CCA"/>
    <w:rsid w:val="004834B5"/>
    <w:rsid w:val="00484C46"/>
    <w:rsid w:val="00484EFE"/>
    <w:rsid w:val="00485630"/>
    <w:rsid w:val="00486A80"/>
    <w:rsid w:val="0049019B"/>
    <w:rsid w:val="00491062"/>
    <w:rsid w:val="004951A2"/>
    <w:rsid w:val="004978D2"/>
    <w:rsid w:val="004A1179"/>
    <w:rsid w:val="004A5485"/>
    <w:rsid w:val="004B279E"/>
    <w:rsid w:val="004B56FF"/>
    <w:rsid w:val="004C75AA"/>
    <w:rsid w:val="004D00A9"/>
    <w:rsid w:val="004D42E3"/>
    <w:rsid w:val="004E12BA"/>
    <w:rsid w:val="004F1A9F"/>
    <w:rsid w:val="004F3016"/>
    <w:rsid w:val="004F64C9"/>
    <w:rsid w:val="00506E20"/>
    <w:rsid w:val="0050703A"/>
    <w:rsid w:val="005122FF"/>
    <w:rsid w:val="00513079"/>
    <w:rsid w:val="00513DAF"/>
    <w:rsid w:val="0051436F"/>
    <w:rsid w:val="0051782E"/>
    <w:rsid w:val="00523CED"/>
    <w:rsid w:val="0053757F"/>
    <w:rsid w:val="00552E37"/>
    <w:rsid w:val="00553D27"/>
    <w:rsid w:val="00557D34"/>
    <w:rsid w:val="00563E49"/>
    <w:rsid w:val="00566C77"/>
    <w:rsid w:val="00571395"/>
    <w:rsid w:val="005714D6"/>
    <w:rsid w:val="0057418A"/>
    <w:rsid w:val="00576603"/>
    <w:rsid w:val="00576E60"/>
    <w:rsid w:val="00580342"/>
    <w:rsid w:val="00585958"/>
    <w:rsid w:val="00594EB4"/>
    <w:rsid w:val="005A6228"/>
    <w:rsid w:val="005B1563"/>
    <w:rsid w:val="005B3162"/>
    <w:rsid w:val="005B3858"/>
    <w:rsid w:val="005C5F81"/>
    <w:rsid w:val="005E2573"/>
    <w:rsid w:val="005E5691"/>
    <w:rsid w:val="005F008F"/>
    <w:rsid w:val="005F3358"/>
    <w:rsid w:val="005F3FD3"/>
    <w:rsid w:val="00613BB5"/>
    <w:rsid w:val="006148BE"/>
    <w:rsid w:val="0063411B"/>
    <w:rsid w:val="006401AC"/>
    <w:rsid w:val="006421FE"/>
    <w:rsid w:val="006518A5"/>
    <w:rsid w:val="006532C4"/>
    <w:rsid w:val="00655332"/>
    <w:rsid w:val="00661871"/>
    <w:rsid w:val="00662069"/>
    <w:rsid w:val="0066368E"/>
    <w:rsid w:val="006737B2"/>
    <w:rsid w:val="006804A4"/>
    <w:rsid w:val="00680B09"/>
    <w:rsid w:val="006843BE"/>
    <w:rsid w:val="00686B51"/>
    <w:rsid w:val="00691387"/>
    <w:rsid w:val="00692684"/>
    <w:rsid w:val="00693F2C"/>
    <w:rsid w:val="0069622A"/>
    <w:rsid w:val="006B392E"/>
    <w:rsid w:val="006C0A38"/>
    <w:rsid w:val="006C6899"/>
    <w:rsid w:val="006C73A3"/>
    <w:rsid w:val="006D5987"/>
    <w:rsid w:val="006E0D6E"/>
    <w:rsid w:val="006E10C4"/>
    <w:rsid w:val="006E11F2"/>
    <w:rsid w:val="006E390F"/>
    <w:rsid w:val="006E4A1E"/>
    <w:rsid w:val="006E66C1"/>
    <w:rsid w:val="006F2E25"/>
    <w:rsid w:val="006F6ECD"/>
    <w:rsid w:val="007079A4"/>
    <w:rsid w:val="007079C5"/>
    <w:rsid w:val="00712039"/>
    <w:rsid w:val="00713DFC"/>
    <w:rsid w:val="00721A28"/>
    <w:rsid w:val="00721DC1"/>
    <w:rsid w:val="00721E87"/>
    <w:rsid w:val="00724A71"/>
    <w:rsid w:val="0073416F"/>
    <w:rsid w:val="00734473"/>
    <w:rsid w:val="00742DB1"/>
    <w:rsid w:val="00742F67"/>
    <w:rsid w:val="00751318"/>
    <w:rsid w:val="00752175"/>
    <w:rsid w:val="00756A66"/>
    <w:rsid w:val="00756EE1"/>
    <w:rsid w:val="007622C9"/>
    <w:rsid w:val="00765D6D"/>
    <w:rsid w:val="007663FC"/>
    <w:rsid w:val="007668C5"/>
    <w:rsid w:val="00771329"/>
    <w:rsid w:val="00774106"/>
    <w:rsid w:val="007844C1"/>
    <w:rsid w:val="00785335"/>
    <w:rsid w:val="00791358"/>
    <w:rsid w:val="00793348"/>
    <w:rsid w:val="00793FEA"/>
    <w:rsid w:val="00797842"/>
    <w:rsid w:val="007A0684"/>
    <w:rsid w:val="007A0E22"/>
    <w:rsid w:val="007A1067"/>
    <w:rsid w:val="007A7913"/>
    <w:rsid w:val="007B17F9"/>
    <w:rsid w:val="007B2BBB"/>
    <w:rsid w:val="007B37EB"/>
    <w:rsid w:val="007C3846"/>
    <w:rsid w:val="007C60C7"/>
    <w:rsid w:val="007D2507"/>
    <w:rsid w:val="007E12B4"/>
    <w:rsid w:val="007F3A45"/>
    <w:rsid w:val="00806CAD"/>
    <w:rsid w:val="00811418"/>
    <w:rsid w:val="00816F2A"/>
    <w:rsid w:val="00820AFB"/>
    <w:rsid w:val="00833266"/>
    <w:rsid w:val="008424F1"/>
    <w:rsid w:val="008432EE"/>
    <w:rsid w:val="00853081"/>
    <w:rsid w:val="00855302"/>
    <w:rsid w:val="0085675B"/>
    <w:rsid w:val="00861A1F"/>
    <w:rsid w:val="008652DF"/>
    <w:rsid w:val="00870A6A"/>
    <w:rsid w:val="00875506"/>
    <w:rsid w:val="00886837"/>
    <w:rsid w:val="00893480"/>
    <w:rsid w:val="008A475B"/>
    <w:rsid w:val="008A4E7E"/>
    <w:rsid w:val="008A5325"/>
    <w:rsid w:val="008B28C9"/>
    <w:rsid w:val="008B398D"/>
    <w:rsid w:val="008C3559"/>
    <w:rsid w:val="008C406F"/>
    <w:rsid w:val="008D0C22"/>
    <w:rsid w:val="008D16A7"/>
    <w:rsid w:val="008D1EC3"/>
    <w:rsid w:val="008D5DF9"/>
    <w:rsid w:val="008D66B0"/>
    <w:rsid w:val="008D6743"/>
    <w:rsid w:val="008D7200"/>
    <w:rsid w:val="008D7FA2"/>
    <w:rsid w:val="008E502F"/>
    <w:rsid w:val="008E6494"/>
    <w:rsid w:val="008F1A38"/>
    <w:rsid w:val="008F1FF4"/>
    <w:rsid w:val="008F3259"/>
    <w:rsid w:val="008F3B69"/>
    <w:rsid w:val="00901F33"/>
    <w:rsid w:val="009049CF"/>
    <w:rsid w:val="009133EE"/>
    <w:rsid w:val="009214E1"/>
    <w:rsid w:val="009415AF"/>
    <w:rsid w:val="00953D32"/>
    <w:rsid w:val="0095428B"/>
    <w:rsid w:val="00957163"/>
    <w:rsid w:val="009624C4"/>
    <w:rsid w:val="009666CC"/>
    <w:rsid w:val="00966887"/>
    <w:rsid w:val="00975E60"/>
    <w:rsid w:val="009810BF"/>
    <w:rsid w:val="00986475"/>
    <w:rsid w:val="00990A0B"/>
    <w:rsid w:val="009932BE"/>
    <w:rsid w:val="0099715F"/>
    <w:rsid w:val="009A5B18"/>
    <w:rsid w:val="009B5EA6"/>
    <w:rsid w:val="009B5F49"/>
    <w:rsid w:val="009B7503"/>
    <w:rsid w:val="009B751F"/>
    <w:rsid w:val="009D4E03"/>
    <w:rsid w:val="009D6AE4"/>
    <w:rsid w:val="009D6BC1"/>
    <w:rsid w:val="009E26DB"/>
    <w:rsid w:val="009F0A77"/>
    <w:rsid w:val="009F374B"/>
    <w:rsid w:val="009F3BE4"/>
    <w:rsid w:val="00A216CF"/>
    <w:rsid w:val="00A27B99"/>
    <w:rsid w:val="00A3020E"/>
    <w:rsid w:val="00A30D21"/>
    <w:rsid w:val="00A35758"/>
    <w:rsid w:val="00A43A2F"/>
    <w:rsid w:val="00A4510D"/>
    <w:rsid w:val="00A46F5F"/>
    <w:rsid w:val="00A514DD"/>
    <w:rsid w:val="00A517AA"/>
    <w:rsid w:val="00A51E39"/>
    <w:rsid w:val="00A520AB"/>
    <w:rsid w:val="00A52C01"/>
    <w:rsid w:val="00A562A7"/>
    <w:rsid w:val="00A57767"/>
    <w:rsid w:val="00A57D4A"/>
    <w:rsid w:val="00A63D59"/>
    <w:rsid w:val="00A64039"/>
    <w:rsid w:val="00A64A57"/>
    <w:rsid w:val="00A67459"/>
    <w:rsid w:val="00A760B5"/>
    <w:rsid w:val="00A80D21"/>
    <w:rsid w:val="00A81ED7"/>
    <w:rsid w:val="00A83427"/>
    <w:rsid w:val="00A84F9A"/>
    <w:rsid w:val="00A945C8"/>
    <w:rsid w:val="00AA6259"/>
    <w:rsid w:val="00AA787B"/>
    <w:rsid w:val="00AB1D8A"/>
    <w:rsid w:val="00AB4258"/>
    <w:rsid w:val="00AB4859"/>
    <w:rsid w:val="00AC7122"/>
    <w:rsid w:val="00AD31A8"/>
    <w:rsid w:val="00AD360F"/>
    <w:rsid w:val="00AF1101"/>
    <w:rsid w:val="00AF2D3E"/>
    <w:rsid w:val="00AF6734"/>
    <w:rsid w:val="00B03695"/>
    <w:rsid w:val="00B04538"/>
    <w:rsid w:val="00B2466C"/>
    <w:rsid w:val="00B25697"/>
    <w:rsid w:val="00B2613A"/>
    <w:rsid w:val="00B26BC9"/>
    <w:rsid w:val="00B31B90"/>
    <w:rsid w:val="00B320B8"/>
    <w:rsid w:val="00B475BA"/>
    <w:rsid w:val="00B539CA"/>
    <w:rsid w:val="00B703C1"/>
    <w:rsid w:val="00B72145"/>
    <w:rsid w:val="00B73298"/>
    <w:rsid w:val="00B91F13"/>
    <w:rsid w:val="00B94D64"/>
    <w:rsid w:val="00BA44AC"/>
    <w:rsid w:val="00BB466E"/>
    <w:rsid w:val="00BB6792"/>
    <w:rsid w:val="00BC67B6"/>
    <w:rsid w:val="00BC7850"/>
    <w:rsid w:val="00BD2303"/>
    <w:rsid w:val="00BE19B8"/>
    <w:rsid w:val="00BE6D82"/>
    <w:rsid w:val="00BF3E04"/>
    <w:rsid w:val="00BF619A"/>
    <w:rsid w:val="00BF6F7B"/>
    <w:rsid w:val="00C05562"/>
    <w:rsid w:val="00C20589"/>
    <w:rsid w:val="00C20E7C"/>
    <w:rsid w:val="00C34CFA"/>
    <w:rsid w:val="00C41478"/>
    <w:rsid w:val="00C4379A"/>
    <w:rsid w:val="00C44AF1"/>
    <w:rsid w:val="00C474BF"/>
    <w:rsid w:val="00C50627"/>
    <w:rsid w:val="00C5243D"/>
    <w:rsid w:val="00C54EC0"/>
    <w:rsid w:val="00C56AD3"/>
    <w:rsid w:val="00C8008A"/>
    <w:rsid w:val="00C80735"/>
    <w:rsid w:val="00C83B07"/>
    <w:rsid w:val="00C91302"/>
    <w:rsid w:val="00C927B7"/>
    <w:rsid w:val="00C97374"/>
    <w:rsid w:val="00CA2D13"/>
    <w:rsid w:val="00CA62AF"/>
    <w:rsid w:val="00CB2FC9"/>
    <w:rsid w:val="00CB5C00"/>
    <w:rsid w:val="00CC0D3E"/>
    <w:rsid w:val="00CD20D6"/>
    <w:rsid w:val="00CF5675"/>
    <w:rsid w:val="00D149D4"/>
    <w:rsid w:val="00D22F4E"/>
    <w:rsid w:val="00D2501C"/>
    <w:rsid w:val="00D3482F"/>
    <w:rsid w:val="00D35EA9"/>
    <w:rsid w:val="00D364AC"/>
    <w:rsid w:val="00D37094"/>
    <w:rsid w:val="00D427F3"/>
    <w:rsid w:val="00D545DD"/>
    <w:rsid w:val="00D56C05"/>
    <w:rsid w:val="00D62C88"/>
    <w:rsid w:val="00D635C8"/>
    <w:rsid w:val="00D704FE"/>
    <w:rsid w:val="00D710E8"/>
    <w:rsid w:val="00D80457"/>
    <w:rsid w:val="00D80F1F"/>
    <w:rsid w:val="00D8208D"/>
    <w:rsid w:val="00D913AD"/>
    <w:rsid w:val="00DA1374"/>
    <w:rsid w:val="00DA2BAB"/>
    <w:rsid w:val="00DA300E"/>
    <w:rsid w:val="00DB0D48"/>
    <w:rsid w:val="00DB4151"/>
    <w:rsid w:val="00DB426A"/>
    <w:rsid w:val="00DB466B"/>
    <w:rsid w:val="00DB7B52"/>
    <w:rsid w:val="00DC4DCD"/>
    <w:rsid w:val="00DC4F07"/>
    <w:rsid w:val="00DC610C"/>
    <w:rsid w:val="00DD07E9"/>
    <w:rsid w:val="00DD5E79"/>
    <w:rsid w:val="00DE15AF"/>
    <w:rsid w:val="00DE5F15"/>
    <w:rsid w:val="00DE7B74"/>
    <w:rsid w:val="00DF005C"/>
    <w:rsid w:val="00DF659B"/>
    <w:rsid w:val="00E01866"/>
    <w:rsid w:val="00E0538A"/>
    <w:rsid w:val="00E05776"/>
    <w:rsid w:val="00E06ACE"/>
    <w:rsid w:val="00E14C7C"/>
    <w:rsid w:val="00E20443"/>
    <w:rsid w:val="00E41862"/>
    <w:rsid w:val="00E505D3"/>
    <w:rsid w:val="00E51EF0"/>
    <w:rsid w:val="00E70384"/>
    <w:rsid w:val="00E76B0E"/>
    <w:rsid w:val="00E776B5"/>
    <w:rsid w:val="00E8478D"/>
    <w:rsid w:val="00E945C6"/>
    <w:rsid w:val="00E957FA"/>
    <w:rsid w:val="00E97822"/>
    <w:rsid w:val="00EA0BA6"/>
    <w:rsid w:val="00EA23AF"/>
    <w:rsid w:val="00EA2E75"/>
    <w:rsid w:val="00EA2E89"/>
    <w:rsid w:val="00EA3109"/>
    <w:rsid w:val="00EA38F9"/>
    <w:rsid w:val="00EA54AD"/>
    <w:rsid w:val="00EB7C7F"/>
    <w:rsid w:val="00EC4075"/>
    <w:rsid w:val="00EC7642"/>
    <w:rsid w:val="00ED2DA5"/>
    <w:rsid w:val="00EE3618"/>
    <w:rsid w:val="00EE7825"/>
    <w:rsid w:val="00EE7E3E"/>
    <w:rsid w:val="00EF5495"/>
    <w:rsid w:val="00EF5E92"/>
    <w:rsid w:val="00F01B2A"/>
    <w:rsid w:val="00F04BBA"/>
    <w:rsid w:val="00F05BE0"/>
    <w:rsid w:val="00F07935"/>
    <w:rsid w:val="00F15B39"/>
    <w:rsid w:val="00F230B3"/>
    <w:rsid w:val="00F25FD8"/>
    <w:rsid w:val="00F3187B"/>
    <w:rsid w:val="00F31D56"/>
    <w:rsid w:val="00F33F31"/>
    <w:rsid w:val="00F353B3"/>
    <w:rsid w:val="00F40A9D"/>
    <w:rsid w:val="00F4113F"/>
    <w:rsid w:val="00F470ED"/>
    <w:rsid w:val="00F633A1"/>
    <w:rsid w:val="00F65E7E"/>
    <w:rsid w:val="00F662CF"/>
    <w:rsid w:val="00F66785"/>
    <w:rsid w:val="00F70E6C"/>
    <w:rsid w:val="00F73D03"/>
    <w:rsid w:val="00F75E37"/>
    <w:rsid w:val="00F76A0F"/>
    <w:rsid w:val="00F81D11"/>
    <w:rsid w:val="00F85225"/>
    <w:rsid w:val="00F873CF"/>
    <w:rsid w:val="00F96490"/>
    <w:rsid w:val="00FB1DB7"/>
    <w:rsid w:val="00FB2223"/>
    <w:rsid w:val="00FB2B31"/>
    <w:rsid w:val="00FB490E"/>
    <w:rsid w:val="00FB58C8"/>
    <w:rsid w:val="00FB695A"/>
    <w:rsid w:val="00FC58FF"/>
    <w:rsid w:val="00FC6690"/>
    <w:rsid w:val="00FC7974"/>
    <w:rsid w:val="00FD0034"/>
    <w:rsid w:val="00FD3761"/>
    <w:rsid w:val="00FD5F35"/>
    <w:rsid w:val="00FD7529"/>
    <w:rsid w:val="00FE102B"/>
    <w:rsid w:val="00FE158E"/>
    <w:rsid w:val="00FE2358"/>
    <w:rsid w:val="00FE2B18"/>
    <w:rsid w:val="00FE4BE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  <w:lang w:val="cs-CZ" w:eastAsia="cs-CZ" w:bidi="ar-SA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rsid w:val="00F633A1"/>
    <w:rPr>
      <w:color w:val="808080"/>
      <w:sz w:val="16"/>
      <w:szCs w:val="16"/>
    </w:rPr>
  </w:style>
  <w:style w:type="paragraph" w:styleId="Zhlav">
    <w:name w:val="header"/>
    <w:basedOn w:val="Normln"/>
    <w:rsid w:val="00552E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52E37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rsid w:val="005C5F81"/>
    <w:pPr>
      <w:keepNext/>
      <w:spacing w:before="20" w:after="20"/>
    </w:pPr>
    <w:rPr>
      <w:rFonts w:cs="Arial"/>
      <w:szCs w:val="20"/>
    </w:rPr>
  </w:style>
  <w:style w:type="paragraph" w:customStyle="1" w:styleId="Nadpislnku">
    <w:name w:val="Nadpis článku"/>
    <w:next w:val="Normln"/>
    <w:rsid w:val="00DF659B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A57D4A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A57D4A"/>
    <w:rPr>
      <w:rFonts w:ascii="Arial" w:hAnsi="Arial"/>
      <w:szCs w:val="24"/>
      <w:lang w:val="cs-CZ" w:eastAsia="cs-CZ" w:bidi="ar-SA"/>
    </w:rPr>
  </w:style>
  <w:style w:type="paragraph" w:customStyle="1" w:styleId="Bodsemn">
    <w:name w:val="Bod se mění"/>
    <w:basedOn w:val="Normln"/>
    <w:next w:val="Normln"/>
    <w:autoRedefine/>
    <w:rsid w:val="005E2573"/>
    <w:pPr>
      <w:keepNext/>
      <w:spacing w:before="240"/>
    </w:pPr>
  </w:style>
  <w:style w:type="paragraph" w:customStyle="1" w:styleId="lnektitulek">
    <w:name w:val="Článek titulek"/>
    <w:basedOn w:val="lnek"/>
    <w:next w:val="Boddohody"/>
    <w:qFormat/>
    <w:rsid w:val="002F33B3"/>
  </w:style>
  <w:style w:type="character" w:customStyle="1" w:styleId="ZpatChar">
    <w:name w:val="Zápatí Char"/>
    <w:link w:val="Zpat"/>
    <w:rsid w:val="003B79D7"/>
    <w:rPr>
      <w:rFonts w:ascii="Arial" w:hAnsi="Arial"/>
      <w:szCs w:val="24"/>
    </w:rPr>
  </w:style>
  <w:style w:type="character" w:styleId="Hypertextovodkaz">
    <w:name w:val="Hyperlink"/>
    <w:rsid w:val="003B79D7"/>
    <w:rPr>
      <w:color w:val="0000FF"/>
      <w:u w:val="single"/>
    </w:rPr>
  </w:style>
  <w:style w:type="paragraph" w:styleId="Bezmezer">
    <w:name w:val="No Spacing"/>
    <w:uiPriority w:val="1"/>
    <w:qFormat/>
    <w:rsid w:val="00FB695A"/>
    <w:pPr>
      <w:jc w:val="both"/>
    </w:pPr>
    <w:rPr>
      <w:rFonts w:ascii="Arial" w:hAnsi="Arial"/>
      <w:szCs w:val="24"/>
    </w:rPr>
  </w:style>
  <w:style w:type="table" w:styleId="Mkatabulky">
    <w:name w:val="Table Grid"/>
    <w:basedOn w:val="Normlntabulka"/>
    <w:rsid w:val="00E5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hPrace\APZ\dohody\STATUT&#193;RN&#205;%20M&#282;STO%20KARVIN&#19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STATUTÁRNÍ MĚSTO KARVINÁ</Template>
  <TotalTime>0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cenkovas</dc:creator>
  <dc:description>Předloha byla vytvořena v informačním systému OKpráce.</dc:description>
  <cp:lastModifiedBy>cenkovas</cp:lastModifiedBy>
  <cp:revision>1</cp:revision>
  <cp:lastPrinted>1601-01-01T00:00:00Z</cp:lastPrinted>
  <dcterms:created xsi:type="dcterms:W3CDTF">2016-09-06T11:02:00Z</dcterms:created>
  <dcterms:modified xsi:type="dcterms:W3CDTF">2016-09-06T11:02:00Z</dcterms:modified>
</cp:coreProperties>
</file>