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25DB" w14:textId="77777777" w:rsidR="006B6B51" w:rsidRPr="00CC15C8" w:rsidRDefault="006B6B51" w:rsidP="006B6B51">
      <w:pPr>
        <w:spacing w:after="120"/>
        <w:jc w:val="center"/>
        <w:rPr>
          <w:rFonts w:asciiTheme="minorHAnsi" w:hAnsiTheme="minorHAnsi" w:cstheme="minorHAnsi"/>
          <w:b/>
          <w:caps/>
          <w:color w:val="000000" w:themeColor="text1"/>
          <w:sz w:val="32"/>
          <w:szCs w:val="32"/>
        </w:rPr>
      </w:pPr>
      <w:r w:rsidRPr="00CC15C8">
        <w:rPr>
          <w:rFonts w:asciiTheme="minorHAnsi" w:hAnsiTheme="minorHAnsi" w:cstheme="minorHAnsi"/>
          <w:b/>
          <w:caps/>
          <w:color w:val="000000" w:themeColor="text1"/>
          <w:sz w:val="32"/>
          <w:szCs w:val="32"/>
        </w:rPr>
        <w:t>RÁMCOVÁ Dohoda</w:t>
      </w:r>
    </w:p>
    <w:p w14:paraId="14BF0A1E" w14:textId="77777777" w:rsidR="006B6B51" w:rsidRPr="003C38A7" w:rsidRDefault="006B6B51" w:rsidP="006B6B51">
      <w:pPr>
        <w:pStyle w:val="Nzevsmlouvy"/>
        <w:spacing w:after="120" w:line="240" w:lineRule="auto"/>
        <w:rPr>
          <w:rFonts w:asciiTheme="minorHAnsi" w:hAnsiTheme="minorHAnsi" w:cstheme="minorHAnsi"/>
          <w:caps/>
          <w:color w:val="000000" w:themeColor="text1"/>
          <w:sz w:val="24"/>
          <w:szCs w:val="32"/>
          <w:lang w:eastAsia="cs-CZ"/>
        </w:rPr>
      </w:pPr>
      <w:r w:rsidRPr="003C38A7">
        <w:rPr>
          <w:rFonts w:asciiTheme="minorHAnsi" w:hAnsiTheme="minorHAnsi" w:cstheme="minorHAnsi"/>
          <w:color w:val="000000" w:themeColor="text1"/>
          <w:sz w:val="24"/>
          <w:szCs w:val="32"/>
          <w:lang w:eastAsia="cs-CZ"/>
        </w:rPr>
        <w:t>na dodávk</w:t>
      </w:r>
      <w:r>
        <w:rPr>
          <w:rFonts w:asciiTheme="minorHAnsi" w:hAnsiTheme="minorHAnsi" w:cstheme="minorHAnsi"/>
          <w:color w:val="000000" w:themeColor="text1"/>
          <w:sz w:val="24"/>
          <w:szCs w:val="32"/>
          <w:lang w:eastAsia="cs-CZ"/>
        </w:rPr>
        <w:t>u spotřebního materiálu pro 3D tiskárnu HP</w:t>
      </w:r>
    </w:p>
    <w:p w14:paraId="7FF3E647" w14:textId="77777777" w:rsidR="006B6B51" w:rsidRPr="00CC15C8" w:rsidRDefault="006B6B51" w:rsidP="006B6B51">
      <w:pPr>
        <w:pStyle w:val="Nzevsmlouvy"/>
        <w:tabs>
          <w:tab w:val="left" w:pos="2694"/>
        </w:tabs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</w:rPr>
        <w:t xml:space="preserve">Uzavřená dle ustanovení </w:t>
      </w:r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§ 2079 a </w:t>
      </w:r>
      <w:proofErr w:type="spellStart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souv</w:t>
      </w:r>
      <w:proofErr w:type="spellEnd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. zákona č. 89/2012 Sb., občanský zákoník, ve znění pozdějších předpisů (dále jen „občanský zákoník“) a ust</w:t>
      </w:r>
      <w:r>
        <w:rPr>
          <w:rFonts w:asciiTheme="minorHAnsi" w:hAnsiTheme="minorHAnsi" w:cstheme="minorHAnsi"/>
          <w:b w:val="0"/>
          <w:color w:val="000000" w:themeColor="text1"/>
          <w:sz w:val="22"/>
        </w:rPr>
        <w:t>anovení</w:t>
      </w:r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§ 131 a </w:t>
      </w:r>
      <w:proofErr w:type="spellStart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souv</w:t>
      </w:r>
      <w:proofErr w:type="spellEnd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. zákona č. 134/2016 Sb., o zadávání veřejných zakázek, ve znění pozdějších předpisů (dále jen „</w:t>
      </w:r>
      <w:r>
        <w:rPr>
          <w:rFonts w:asciiTheme="minorHAnsi" w:hAnsiTheme="minorHAnsi" w:cstheme="minorHAnsi"/>
          <w:b w:val="0"/>
          <w:color w:val="000000" w:themeColor="text1"/>
          <w:sz w:val="22"/>
        </w:rPr>
        <w:t>ZZVZ</w:t>
      </w:r>
      <w:r w:rsidRPr="00CC15C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“)</w:t>
      </w:r>
      <w:r w:rsidRPr="00CC15C8">
        <w:rPr>
          <w:rFonts w:asciiTheme="minorHAnsi" w:eastAsia="Calibri" w:hAnsiTheme="minorHAnsi" w:cstheme="minorHAnsi"/>
          <w:b w:val="0"/>
          <w:sz w:val="22"/>
        </w:rPr>
        <w:t xml:space="preserve"> níže uvedeného dne, měsíce a roku</w:t>
      </w:r>
    </w:p>
    <w:p w14:paraId="4AD639A3" w14:textId="77777777" w:rsidR="006B6B51" w:rsidRPr="00CC15C8" w:rsidRDefault="006B6B51" w:rsidP="006B6B51">
      <w:pPr>
        <w:pStyle w:val="Nzevsmlouvy"/>
        <w:tabs>
          <w:tab w:val="left" w:pos="2694"/>
        </w:tabs>
        <w:spacing w:after="12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5C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(dále také „rámcová dohoda“)</w:t>
      </w:r>
    </w:p>
    <w:p w14:paraId="176E0832" w14:textId="77777777" w:rsidR="006B6B51" w:rsidRPr="000F419B" w:rsidRDefault="006B6B51" w:rsidP="006B6B51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lang w:eastAsia="en-US"/>
        </w:rPr>
      </w:pPr>
      <w:r w:rsidRPr="000F419B">
        <w:rPr>
          <w:rFonts w:asciiTheme="minorHAnsi" w:hAnsiTheme="minorHAnsi"/>
          <w:b/>
          <w:caps/>
          <w:color w:val="000000" w:themeColor="text1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6B6B51" w:rsidRPr="000F419B" w14:paraId="0C13E1C7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33D21CE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0B46CC28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0F419B">
              <w:rPr>
                <w:rFonts w:cs="Calibri"/>
                <w:b/>
                <w:bCs/>
                <w:color w:val="000000"/>
                <w:sz w:val="22"/>
              </w:rPr>
              <w:t>ČESKÉ VYSOKÉ UČENÍ TECHNICKÉ V PRAZE</w:t>
            </w:r>
          </w:p>
          <w:p w14:paraId="3612D8CC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0F419B">
              <w:rPr>
                <w:rFonts w:cs="Calibri"/>
                <w:b/>
                <w:bCs/>
                <w:color w:val="000000"/>
                <w:sz w:val="22"/>
              </w:rPr>
              <w:t>Český institut informatiky, robotiky a kybernetiky</w:t>
            </w:r>
          </w:p>
        </w:tc>
      </w:tr>
      <w:tr w:rsidR="006B6B51" w:rsidRPr="000F419B" w14:paraId="024A7178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1C956B2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540FEED6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Cs/>
                <w:sz w:val="22"/>
              </w:rPr>
            </w:pPr>
            <w:r w:rsidRPr="000F419B">
              <w:rPr>
                <w:rFonts w:cs="Arial"/>
                <w:bCs/>
                <w:sz w:val="22"/>
              </w:rPr>
              <w:t>Jugoslávských partyzánů 1580/3, 160 00, Praha 6</w:t>
            </w:r>
          </w:p>
        </w:tc>
      </w:tr>
      <w:tr w:rsidR="006B6B51" w:rsidRPr="000F419B" w14:paraId="22DF0D80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CEFC761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JEHOŽ JMÉNEM JEDNÁ:</w:t>
            </w:r>
          </w:p>
        </w:tc>
        <w:tc>
          <w:tcPr>
            <w:tcW w:w="3635" w:type="pct"/>
            <w:vAlign w:val="center"/>
          </w:tcPr>
          <w:p w14:paraId="15C0DCB0" w14:textId="26788592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</w:p>
        </w:tc>
      </w:tr>
      <w:tr w:rsidR="006B6B51" w:rsidRPr="000F419B" w14:paraId="247BEECB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215BEDD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77481C8B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  <w:r w:rsidRPr="000F419B">
              <w:rPr>
                <w:rFonts w:cs="Calibri"/>
                <w:sz w:val="22"/>
              </w:rPr>
              <w:t>68407700</w:t>
            </w:r>
          </w:p>
        </w:tc>
      </w:tr>
    </w:tbl>
    <w:p w14:paraId="4184A39C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" w:after="60"/>
        <w:ind w:left="284" w:hanging="284"/>
        <w:rPr>
          <w:rFonts w:cs="Arial"/>
          <w:bCs/>
          <w:color w:val="000000"/>
          <w:sz w:val="22"/>
        </w:rPr>
      </w:pPr>
      <w:r w:rsidRPr="000F419B">
        <w:rPr>
          <w:rFonts w:cs="Arial"/>
          <w:bCs/>
          <w:color w:val="000000"/>
          <w:sz w:val="22"/>
        </w:rPr>
        <w:t>dále jen „kupující“</w:t>
      </w:r>
    </w:p>
    <w:p w14:paraId="1885648D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" w:after="60"/>
        <w:rPr>
          <w:rFonts w:cs="Arial"/>
          <w:b/>
          <w:bCs/>
          <w:color w:val="000000"/>
          <w:sz w:val="22"/>
        </w:rPr>
      </w:pPr>
      <w:r w:rsidRPr="000F419B">
        <w:rPr>
          <w:rFonts w:cs="Arial"/>
          <w:b/>
          <w:bCs/>
          <w:color w:val="000000"/>
          <w:sz w:val="22"/>
        </w:rPr>
        <w:t>a</w:t>
      </w:r>
    </w:p>
    <w:p w14:paraId="506F36A2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" w:after="60"/>
        <w:ind w:left="284" w:hanging="284"/>
        <w:rPr>
          <w:rFonts w:cs="Arial"/>
          <w:b/>
          <w:bCs/>
          <w:color w:val="000000"/>
          <w:sz w:val="22"/>
        </w:rPr>
      </w:pPr>
      <w:r w:rsidRPr="000F419B">
        <w:rPr>
          <w:rFonts w:cs="Arial"/>
          <w:b/>
          <w:bCs/>
          <w:color w:val="000000"/>
          <w:sz w:val="22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8"/>
      </w:tblGrid>
      <w:tr w:rsidR="006B6B51" w:rsidRPr="000F419B" w14:paraId="152024D0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58FD4A5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09DD9815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 xml:space="preserve">3Dees </w:t>
            </w:r>
            <w:proofErr w:type="spellStart"/>
            <w:r>
              <w:rPr>
                <w:rFonts w:cs="Calibri"/>
                <w:b/>
                <w:bCs/>
                <w:color w:val="000000"/>
                <w:sz w:val="22"/>
              </w:rPr>
              <w:t>Industries</w:t>
            </w:r>
            <w:proofErr w:type="spellEnd"/>
            <w:r>
              <w:rPr>
                <w:rFonts w:cs="Calibri"/>
                <w:b/>
                <w:bCs/>
                <w:color w:val="000000"/>
                <w:sz w:val="22"/>
              </w:rPr>
              <w:t xml:space="preserve"> s.r.o.</w:t>
            </w:r>
          </w:p>
        </w:tc>
      </w:tr>
      <w:tr w:rsidR="006B6B51" w:rsidRPr="000F419B" w14:paraId="0DD20E75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0D310879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2D1EB352" w14:textId="77777777" w:rsidR="006B6B51" w:rsidRPr="008155F6" w:rsidRDefault="008155F6" w:rsidP="008155F6">
            <w:pPr>
              <w:spacing w:before="60" w:after="60"/>
              <w:jc w:val="center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/>
                <w:bCs/>
                <w:color w:val="000000"/>
                <w:sz w:val="22"/>
              </w:rPr>
              <w:t>Doudlebská 1699/5</w:t>
            </w:r>
            <w:r w:rsidR="006B6B51" w:rsidRPr="006B2CDB">
              <w:rPr>
                <w:rFonts w:cs="Calibri"/>
                <w:bCs/>
                <w:color w:val="000000"/>
                <w:sz w:val="22"/>
              </w:rPr>
              <w:t>, 1</w:t>
            </w:r>
            <w:r>
              <w:rPr>
                <w:rFonts w:cs="Calibri"/>
                <w:bCs/>
                <w:color w:val="000000"/>
                <w:sz w:val="22"/>
              </w:rPr>
              <w:t>4</w:t>
            </w:r>
            <w:r w:rsidR="006B6B51" w:rsidRPr="006B2CDB">
              <w:rPr>
                <w:rFonts w:cs="Calibri"/>
                <w:bCs/>
                <w:color w:val="000000"/>
                <w:sz w:val="22"/>
              </w:rPr>
              <w:t>0 00 Praha</w:t>
            </w:r>
            <w:r>
              <w:rPr>
                <w:rFonts w:cs="Calibri"/>
                <w:bCs/>
                <w:color w:val="000000"/>
                <w:sz w:val="22"/>
              </w:rPr>
              <w:t xml:space="preserve"> 4 </w:t>
            </w:r>
          </w:p>
        </w:tc>
      </w:tr>
      <w:tr w:rsidR="006B6B51" w:rsidRPr="000F419B" w14:paraId="23330C82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E8164C9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ZASTOUPENÁ/JEDNAJÍCÍ:</w:t>
            </w:r>
          </w:p>
        </w:tc>
        <w:tc>
          <w:tcPr>
            <w:tcW w:w="3635" w:type="pct"/>
            <w:vAlign w:val="center"/>
          </w:tcPr>
          <w:p w14:paraId="55045B65" w14:textId="78A9079B" w:rsidR="006B6B51" w:rsidRPr="006B2CD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</w:p>
        </w:tc>
      </w:tr>
      <w:tr w:rsidR="006B6B51" w:rsidRPr="000F419B" w14:paraId="7326C80A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8739065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0477633D" w14:textId="77777777" w:rsidR="006B6B51" w:rsidRPr="006B2CD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  <w:r w:rsidRPr="006B2CDB">
              <w:rPr>
                <w:rFonts w:cs="Calibri"/>
                <w:bCs/>
                <w:color w:val="000000"/>
                <w:sz w:val="22"/>
              </w:rPr>
              <w:t>05997577</w:t>
            </w:r>
          </w:p>
        </w:tc>
      </w:tr>
      <w:tr w:rsidR="006B6B51" w:rsidRPr="000F419B" w14:paraId="3981CAAF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1D52045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ČÍSLO BANKOVNÍHO ÚČTU:</w:t>
            </w:r>
          </w:p>
        </w:tc>
        <w:tc>
          <w:tcPr>
            <w:tcW w:w="3635" w:type="pct"/>
            <w:vAlign w:val="center"/>
          </w:tcPr>
          <w:p w14:paraId="5843BBA0" w14:textId="77777777" w:rsidR="006B6B51" w:rsidRPr="00111D63" w:rsidRDefault="00111D63" w:rsidP="00764E4E">
            <w:pPr>
              <w:spacing w:before="60" w:after="60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111D63">
              <w:rPr>
                <w:rFonts w:cs="Calibri"/>
                <w:bCs/>
                <w:color w:val="000000"/>
                <w:sz w:val="22"/>
              </w:rPr>
              <w:t>5983066002/5500</w:t>
            </w:r>
            <w:r w:rsidRPr="00F53086">
              <w:rPr>
                <w:rFonts w:cs="Calibri"/>
                <w:bCs/>
                <w:color w:val="000000"/>
                <w:sz w:val="22"/>
              </w:rPr>
              <w:t xml:space="preserve"> </w:t>
            </w:r>
          </w:p>
        </w:tc>
      </w:tr>
      <w:tr w:rsidR="006B6B51" w:rsidRPr="000F419B" w14:paraId="6F50474F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3496215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ZAPSANÁ V OR:</w:t>
            </w:r>
          </w:p>
        </w:tc>
        <w:tc>
          <w:tcPr>
            <w:tcW w:w="3635" w:type="pct"/>
            <w:vAlign w:val="center"/>
          </w:tcPr>
          <w:p w14:paraId="7144968B" w14:textId="77777777" w:rsidR="006B6B51" w:rsidRPr="006B2CD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  <w:r w:rsidRPr="006B2CDB">
              <w:rPr>
                <w:rFonts w:cs="Calibri"/>
                <w:bCs/>
                <w:color w:val="000000"/>
                <w:sz w:val="22"/>
              </w:rPr>
              <w:t xml:space="preserve">u Městského soudu v Praze, </w:t>
            </w:r>
            <w:proofErr w:type="spellStart"/>
            <w:r w:rsidRPr="006B2CDB">
              <w:rPr>
                <w:rFonts w:cs="Calibri"/>
                <w:bCs/>
                <w:color w:val="000000"/>
                <w:sz w:val="22"/>
              </w:rPr>
              <w:t>sp</w:t>
            </w:r>
            <w:proofErr w:type="spellEnd"/>
            <w:r w:rsidRPr="006B2CDB">
              <w:rPr>
                <w:rFonts w:cs="Calibri"/>
                <w:bCs/>
                <w:color w:val="000000"/>
                <w:sz w:val="22"/>
              </w:rPr>
              <w:t>. zn. C 274309</w:t>
            </w:r>
          </w:p>
        </w:tc>
      </w:tr>
    </w:tbl>
    <w:p w14:paraId="75CC826E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color w:val="000000"/>
          <w:sz w:val="22"/>
        </w:rPr>
      </w:pPr>
      <w:r w:rsidRPr="000F419B">
        <w:rPr>
          <w:rFonts w:cs="Arial"/>
          <w:color w:val="000000"/>
          <w:sz w:val="22"/>
        </w:rPr>
        <w:t>dále jen „prodávající“</w:t>
      </w:r>
    </w:p>
    <w:p w14:paraId="41B4A2FB" w14:textId="77777777" w:rsidR="006B6B51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color w:val="000000"/>
          <w:sz w:val="22"/>
        </w:rPr>
      </w:pPr>
    </w:p>
    <w:p w14:paraId="49DD5C1D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color w:val="000000"/>
          <w:sz w:val="22"/>
        </w:rPr>
      </w:pPr>
      <w:r w:rsidRPr="000F419B">
        <w:rPr>
          <w:rFonts w:cs="Arial"/>
          <w:color w:val="000000"/>
          <w:sz w:val="22"/>
        </w:rPr>
        <w:t>společně též jako „smluvní strany“ nebo jednotlivě jako „smluvní strana“</w:t>
      </w:r>
    </w:p>
    <w:p w14:paraId="4C2391B6" w14:textId="77777777" w:rsidR="006B6B51" w:rsidRDefault="006B6B51" w:rsidP="006B6B51">
      <w:pPr>
        <w:jc w:val="left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br w:type="page"/>
      </w:r>
    </w:p>
    <w:p w14:paraId="0B99D068" w14:textId="77777777" w:rsidR="006B6B51" w:rsidRPr="00B22CA8" w:rsidRDefault="006B6B51" w:rsidP="006B6B51">
      <w:pPr>
        <w:pStyle w:val="Nadpis1"/>
        <w:numPr>
          <w:ilvl w:val="0"/>
          <w:numId w:val="5"/>
        </w:numPr>
        <w:spacing w:before="0" w:after="120"/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r w:rsidRPr="00B22CA8">
        <w:rPr>
          <w:rFonts w:asciiTheme="minorHAnsi" w:hAnsiTheme="minorHAnsi" w:cstheme="minorHAnsi"/>
          <w:color w:val="000000" w:themeColor="text1"/>
          <w:szCs w:val="24"/>
        </w:rPr>
        <w:lastRenderedPageBreak/>
        <w:t>Preambule</w:t>
      </w:r>
    </w:p>
    <w:p w14:paraId="26DCDEBB" w14:textId="77777777" w:rsidR="006B6B51" w:rsidRPr="005C170F" w:rsidRDefault="006B6B51" w:rsidP="006B6B51">
      <w:pPr>
        <w:pStyle w:val="Odstavecseseznamem"/>
        <w:numPr>
          <w:ilvl w:val="0"/>
          <w:numId w:val="12"/>
        </w:numPr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Smluvní strany uzavírají tuto rámcovou dohodu </w:t>
      </w:r>
      <w:r w:rsidR="00D029E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v rámci </w:t>
      </w:r>
      <w:r w:rsidR="00A614D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podlimitní </w:t>
      </w:r>
      <w:r w:rsidR="00D029E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veřejné zakázky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s názvem</w:t>
      </w: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Pr="005C170F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„ČVUT-CIIR</w:t>
      </w:r>
      <w:r w:rsidRPr="00A614DB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C: </w:t>
      </w:r>
      <w:r w:rsidR="00A614DB" w:rsidRPr="007101BC">
        <w:rPr>
          <w:b/>
          <w:sz w:val="22"/>
          <w:szCs w:val="22"/>
          <w:lang w:val="cs-CZ"/>
        </w:rPr>
        <w:t>Spotřební materiál pro 3D tiskárnu HP</w:t>
      </w:r>
      <w:r w:rsidRPr="00A614DB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“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 </w:t>
      </w: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(dále jen „veřejná zakázka“)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zadávané </w:t>
      </w:r>
      <w:r w:rsidR="006F1E8E" w:rsidRPr="007101BC">
        <w:rPr>
          <w:rFonts w:cstheme="minorHAnsi"/>
          <w:sz w:val="22"/>
          <w:szCs w:val="22"/>
          <w:lang w:val="cs-CZ"/>
        </w:rPr>
        <w:t xml:space="preserve">v souladu s </w:t>
      </w:r>
      <w:proofErr w:type="spellStart"/>
      <w:r w:rsidR="006F1E8E" w:rsidRPr="007101BC">
        <w:rPr>
          <w:rFonts w:cstheme="minorHAnsi"/>
          <w:sz w:val="22"/>
          <w:szCs w:val="22"/>
          <w:lang w:val="cs-CZ"/>
        </w:rPr>
        <w:t>ust</w:t>
      </w:r>
      <w:proofErr w:type="spellEnd"/>
      <w:r w:rsidR="006F1E8E" w:rsidRPr="007101BC">
        <w:rPr>
          <w:rFonts w:cstheme="minorHAnsi"/>
          <w:sz w:val="22"/>
          <w:szCs w:val="22"/>
          <w:lang w:val="cs-CZ"/>
        </w:rPr>
        <w:t xml:space="preserve">. § </w:t>
      </w:r>
      <w:r w:rsidR="00FE17E6" w:rsidRPr="007101BC">
        <w:rPr>
          <w:rFonts w:cstheme="minorHAnsi"/>
          <w:sz w:val="22"/>
          <w:szCs w:val="22"/>
          <w:lang w:val="cs-CZ"/>
        </w:rPr>
        <w:t>63 zákona o zadávání veřejných zakázek</w:t>
      </w:r>
      <w:r w:rsidR="006F1E8E" w:rsidRPr="007101BC">
        <w:rPr>
          <w:rFonts w:cstheme="minorHAnsi"/>
          <w:sz w:val="22"/>
          <w:szCs w:val="22"/>
          <w:lang w:val="cs-CZ"/>
        </w:rPr>
        <w:t xml:space="preserve"> a dle vnitřních předpisů </w:t>
      </w:r>
      <w:r w:rsidR="002C27F9" w:rsidRPr="007101BC">
        <w:rPr>
          <w:rFonts w:cstheme="minorHAnsi"/>
          <w:sz w:val="22"/>
          <w:szCs w:val="22"/>
          <w:lang w:val="cs-CZ"/>
        </w:rPr>
        <w:t>kupujícího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</w:t>
      </w:r>
    </w:p>
    <w:p w14:paraId="02596136" w14:textId="77777777" w:rsidR="006B6B51" w:rsidRPr="00B22CA8" w:rsidRDefault="006B6B51" w:rsidP="006B6B51">
      <w:pPr>
        <w:pStyle w:val="Nadpis1"/>
        <w:numPr>
          <w:ilvl w:val="0"/>
          <w:numId w:val="5"/>
        </w:numPr>
        <w:spacing w:before="0" w:after="120"/>
        <w:ind w:left="0" w:firstLine="0"/>
        <w:rPr>
          <w:rFonts w:asciiTheme="minorHAnsi" w:hAnsiTheme="minorHAnsi" w:cstheme="minorHAnsi"/>
          <w:color w:val="000000" w:themeColor="text1"/>
          <w:szCs w:val="22"/>
        </w:rPr>
      </w:pPr>
      <w:r w:rsidRPr="00B22CA8">
        <w:rPr>
          <w:rFonts w:asciiTheme="minorHAnsi" w:hAnsiTheme="minorHAnsi" w:cstheme="minorHAnsi"/>
          <w:color w:val="000000" w:themeColor="text1"/>
          <w:szCs w:val="22"/>
        </w:rPr>
        <w:t>Účel a předmět rámcové dohody</w:t>
      </w:r>
    </w:p>
    <w:p w14:paraId="39F30DB7" w14:textId="77777777" w:rsidR="006B6B51" w:rsidRPr="00F677BA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Účelem rámcové dohody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řádné, kompletní a včasné dodání zboží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a souvisejících služeb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dle aktuální potřeby kupujícího prodávajícím a umožnění jeho bezproblémového provozu. </w:t>
      </w:r>
    </w:p>
    <w:p w14:paraId="3C61E8B2" w14:textId="77777777" w:rsidR="006B6B51" w:rsidRPr="00A02FBB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A02FBB">
        <w:rPr>
          <w:rFonts w:asciiTheme="minorHAnsi" w:hAnsiTheme="minorHAnsi" w:cstheme="minorHAnsi"/>
          <w:sz w:val="22"/>
          <w:szCs w:val="22"/>
          <w:lang w:val="cs-CZ"/>
        </w:rPr>
        <w:t>Předmětem této dohody je vymezení konkrétních a úplných rámcových podmínek, na jejichž základě budou mezi kupujícím a prodávajícím uzavírány jednotlivé smlouvy (dále jen „dílčí objednávky“) dle aktuálních potřeb kupujícího na dodávky spotřebního materiálu pro 3D tiskárnu HP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D029E2" w:rsidRPr="00A02FBB">
        <w:rPr>
          <w:rFonts w:asciiTheme="minorHAnsi" w:hAnsiTheme="minorHAnsi" w:cstheme="minorHAnsi"/>
          <w:sz w:val="22"/>
          <w:szCs w:val="22"/>
          <w:lang w:val="cs-CZ"/>
        </w:rPr>
        <w:t>(společně dále jen „zboží“).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 xml:space="preserve"> Jednotlivé produkty zboží</w:t>
      </w:r>
      <w:r w:rsidRPr="00A02FBB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 xml:space="preserve">které mohou být předmětem dílčích objednávek, jsou uvedeny v </w:t>
      </w:r>
      <w:r w:rsidR="00A02FBB" w:rsidRPr="00A02FBB">
        <w:rPr>
          <w:rFonts w:asciiTheme="minorHAnsi" w:hAnsiTheme="minorHAnsi" w:cstheme="minorHAnsi"/>
          <w:sz w:val="22"/>
          <w:szCs w:val="22"/>
          <w:lang w:val="cs-CZ"/>
        </w:rPr>
        <w:t>příloze č. 1 dohody – Ceník spotřebního materiálu pro 3D tisk (dále jen „Ceník“)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A02FB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328BC86" w14:textId="77777777" w:rsidR="006B6B51" w:rsidRPr="007101BC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7101BC">
        <w:rPr>
          <w:rFonts w:asciiTheme="minorHAnsi" w:hAnsiTheme="minorHAnsi" w:cstheme="minorHAnsi"/>
          <w:sz w:val="22"/>
          <w:szCs w:val="22"/>
          <w:lang w:val="cs-CZ"/>
        </w:rPr>
        <w:t xml:space="preserve">Nedílnou součástí </w:t>
      </w:r>
      <w:proofErr w:type="gramStart"/>
      <w:r w:rsidRPr="007101BC">
        <w:rPr>
          <w:rFonts w:asciiTheme="minorHAnsi" w:hAnsiTheme="minorHAnsi" w:cstheme="minorHAnsi"/>
          <w:sz w:val="22"/>
          <w:szCs w:val="22"/>
          <w:lang w:val="cs-CZ"/>
        </w:rPr>
        <w:t>zboží</w:t>
      </w:r>
      <w:proofErr w:type="gramEnd"/>
      <w:r w:rsidRPr="007101BC">
        <w:rPr>
          <w:rFonts w:asciiTheme="minorHAnsi" w:hAnsiTheme="minorHAnsi" w:cstheme="minorHAnsi"/>
          <w:sz w:val="22"/>
          <w:szCs w:val="22"/>
          <w:lang w:val="cs-CZ"/>
        </w:rPr>
        <w:t xml:space="preserve"> a tedy předmětem této dohody je:</w:t>
      </w:r>
    </w:p>
    <w:p w14:paraId="1CD51B93" w14:textId="77777777" w:rsidR="006B6B51" w:rsidRPr="00B22CA8" w:rsidRDefault="006B6B51" w:rsidP="006B6B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1134" w:hanging="283"/>
        <w:rPr>
          <w:rFonts w:cs="Calibri"/>
          <w:sz w:val="22"/>
          <w:szCs w:val="22"/>
          <w:lang w:val="cs-CZ"/>
        </w:rPr>
      </w:pPr>
      <w:r w:rsidRPr="00B22CA8">
        <w:rPr>
          <w:rFonts w:cs="Calibri"/>
          <w:sz w:val="22"/>
          <w:szCs w:val="22"/>
          <w:lang w:val="cs-CZ"/>
        </w:rPr>
        <w:t xml:space="preserve">dodávka zboží na </w:t>
      </w:r>
      <w:r>
        <w:rPr>
          <w:rFonts w:cs="Calibri"/>
          <w:sz w:val="22"/>
          <w:szCs w:val="22"/>
          <w:lang w:val="cs-CZ"/>
        </w:rPr>
        <w:t xml:space="preserve">místo plnění dle čl. III odst. </w:t>
      </w:r>
      <w:r w:rsidR="00D029E2">
        <w:rPr>
          <w:rFonts w:cs="Calibri"/>
          <w:sz w:val="22"/>
          <w:szCs w:val="22"/>
          <w:lang w:val="cs-CZ"/>
        </w:rPr>
        <w:t>5</w:t>
      </w:r>
      <w:r w:rsidRPr="00B22CA8">
        <w:rPr>
          <w:rFonts w:cs="Calibri"/>
          <w:sz w:val="22"/>
          <w:szCs w:val="22"/>
          <w:lang w:val="cs-CZ"/>
        </w:rPr>
        <w:t xml:space="preserve"> dohody;</w:t>
      </w:r>
    </w:p>
    <w:p w14:paraId="368FA767" w14:textId="77777777" w:rsidR="00433E57" w:rsidRPr="00433E57" w:rsidRDefault="00433E57" w:rsidP="00433E5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1134" w:hanging="283"/>
        <w:rPr>
          <w:rFonts w:cs="Calibri"/>
          <w:sz w:val="22"/>
          <w:szCs w:val="22"/>
          <w:lang w:val="cs-CZ"/>
        </w:rPr>
      </w:pPr>
      <w:r w:rsidRPr="00433E57">
        <w:rPr>
          <w:rFonts w:cs="Calibri"/>
          <w:sz w:val="22"/>
          <w:szCs w:val="22"/>
          <w:lang w:val="cs-CZ"/>
        </w:rPr>
        <w:t>předání veškeré související dokumentace vztahující se ke zboží, zejména technických listů, bezpečnostních listů (pokud jsou relevantní), pokynů ke skladování a použití a dalších dokumentů vyžadovaných příslušnými právními předpisy a českými a evropskými technickými normami.</w:t>
      </w:r>
    </w:p>
    <w:p w14:paraId="4015DB75" w14:textId="77777777" w:rsidR="006B6B51" w:rsidRPr="00CC15C8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Předmětem této dohody je dále odpovídající závazek kupujícího spolupracovat s prodávajícím při plnění jeho povinností vyplývajících z této dohody tak, aby mohla být řádně realizována.</w:t>
      </w:r>
    </w:p>
    <w:p w14:paraId="2190E475" w14:textId="77777777" w:rsidR="006B6B51" w:rsidRPr="00747215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Kupující není povinen k odběru jakéhokoli zboží, na něž nezadal dílčí objednávku. Nezadá-li žádnou dílčí objednávku, není z této dohody prodávajícímu ničím zavázán.</w:t>
      </w:r>
    </w:p>
    <w:p w14:paraId="4E9924E2" w14:textId="77777777" w:rsidR="006B6B51" w:rsidRPr="00747215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Prodávající se zavazuje realizovat předmět této dohody s maximální odbornou péčí a hospodárností při provádění všech prací a při výběru poddodavatelů, to vše při dodržení maximální možné kvality a s důrazem na ekologickou šetrnost.</w:t>
      </w:r>
    </w:p>
    <w:p w14:paraId="6428DDC6" w14:textId="77777777" w:rsidR="006B6B51" w:rsidRPr="00CC15C8" w:rsidRDefault="006B6B51" w:rsidP="006B6B51">
      <w:pPr>
        <w:pStyle w:val="Odstavecseseznamem"/>
        <w:numPr>
          <w:ilvl w:val="0"/>
          <w:numId w:val="6"/>
        </w:numPr>
        <w:spacing w:after="24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CC15C8">
        <w:rPr>
          <w:rFonts w:asciiTheme="minorHAnsi" w:hAnsiTheme="minorHAnsi" w:cstheme="minorHAnsi"/>
          <w:sz w:val="22"/>
          <w:szCs w:val="22"/>
          <w:lang w:val="cs-CZ"/>
        </w:rPr>
        <w:t>Veškerá ustanovení týkající se této rámcové dohody se podle jejich povahy a účelu použijí také na jednotlivé dílčí objednávky uzavírané na jejím základě mezi kupujícím a prodávajícím.</w:t>
      </w:r>
    </w:p>
    <w:p w14:paraId="0ED0CF72" w14:textId="77777777" w:rsidR="006B6B51" w:rsidRPr="00CE6678" w:rsidRDefault="006B6B51" w:rsidP="006B6B51">
      <w:pPr>
        <w:pStyle w:val="Odstavecseseznamem"/>
        <w:numPr>
          <w:ilvl w:val="0"/>
          <w:numId w:val="5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Ustanovení o dodání</w:t>
      </w:r>
    </w:p>
    <w:p w14:paraId="7BB30C12" w14:textId="77777777" w:rsidR="006B6B51" w:rsidRPr="00F677BA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Ustanovení této části se vztahují obecně na dodání dle této dohody, není-li jinde uvedeno jinak.</w:t>
      </w:r>
    </w:p>
    <w:p w14:paraId="1EE30F91" w14:textId="77777777" w:rsidR="006B6B51" w:rsidRPr="00F677BA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Plnění dle této dohody bude probíhat na základě jednotlivých dílčích objednávek</w:t>
      </w:r>
      <w:r w:rsidR="00A02FB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 to následujícím způsobem:</w:t>
      </w:r>
    </w:p>
    <w:p w14:paraId="07D8FF6D" w14:textId="77777777" w:rsidR="006B6B51" w:rsidRDefault="00F53086" w:rsidP="006B6B51">
      <w:pPr>
        <w:pStyle w:val="Odstavecseseznamem"/>
        <w:numPr>
          <w:ilvl w:val="1"/>
          <w:numId w:val="10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upující zašle výzvu prodávajícímu k uzavření dílčí objednávky (skrze kontaktní osoby dle odst. 5. tohoto článku). Ve výzvě bude specifikováno množství a typ </w:t>
      </w:r>
      <w:r w:rsidR="00B305C4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produktu 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objednávaného zboží dle čl. II odst. 2 této dohody</w:t>
      </w:r>
      <w:r w:rsidR="00A02FB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resp. Ceníku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;</w:t>
      </w:r>
    </w:p>
    <w:p w14:paraId="2ACBB298" w14:textId="77777777" w:rsidR="006B6B51" w:rsidRPr="007E4C9F" w:rsidRDefault="00F53086" w:rsidP="006B6B51">
      <w:pPr>
        <w:pStyle w:val="Odstavecseseznamem"/>
        <w:numPr>
          <w:ilvl w:val="1"/>
          <w:numId w:val="10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rodávající potvrdí přijetí dílčí objednávky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 </w:t>
      </w:r>
      <w:r w:rsidRPr="00433E57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5 pracovních dnů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– tímto okamžikem je uzavřena dílčí objednávka. </w:t>
      </w:r>
    </w:p>
    <w:p w14:paraId="638F3B52" w14:textId="77777777" w:rsidR="006B6B51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Lhůta pro dodání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zboží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činí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14</w:t>
      </w:r>
      <w:r w:rsidRPr="009A3345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kalendářních </w:t>
      </w:r>
      <w:r w:rsidRPr="009A3345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dní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Pr="00433E57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od uzavření dílčí objednávky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dle odst. 2 písm. b) tohoto článku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ledaže se strany dohodnou v jednotlivém případě jinak.</w:t>
      </w:r>
    </w:p>
    <w:p w14:paraId="08E3AB48" w14:textId="77777777" w:rsidR="006B6B51" w:rsidRPr="000036AD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0"/>
          <w:szCs w:val="22"/>
          <w:lang w:val="cs-CZ"/>
        </w:rPr>
      </w:pPr>
      <w:r w:rsidRPr="000036AD">
        <w:rPr>
          <w:rFonts w:cs="Arial"/>
          <w:color w:val="000000"/>
          <w:sz w:val="22"/>
          <w:lang w:val="cs-CZ" w:eastAsia="cs-CZ"/>
        </w:rPr>
        <w:t>Dodáním zboží se rozumí jeho převzetí kupujícím, tj. jeho řádné dodání na místo dodání</w:t>
      </w:r>
      <w:r>
        <w:rPr>
          <w:rFonts w:cs="Arial"/>
          <w:color w:val="000000"/>
          <w:sz w:val="22"/>
          <w:lang w:val="cs-CZ" w:eastAsia="cs-CZ"/>
        </w:rPr>
        <w:t xml:space="preserve"> a vystavení </w:t>
      </w:r>
      <w:r w:rsidRPr="000036AD">
        <w:rPr>
          <w:rFonts w:cs="Arial"/>
          <w:color w:val="000000" w:themeColor="text1"/>
          <w:sz w:val="22"/>
          <w:lang w:val="cs-CZ"/>
        </w:rPr>
        <w:t>předávací a akceptační protokol</w:t>
      </w:r>
      <w:r>
        <w:rPr>
          <w:rFonts w:cs="Arial"/>
          <w:color w:val="000000" w:themeColor="text1"/>
          <w:sz w:val="22"/>
          <w:lang w:val="cs-CZ"/>
        </w:rPr>
        <w:t>u prodávajícímu po úspěšném převzetí zboží kupujícím</w:t>
      </w:r>
      <w:r w:rsidRPr="000036AD">
        <w:rPr>
          <w:rFonts w:cs="Arial"/>
          <w:color w:val="000000" w:themeColor="text1"/>
          <w:sz w:val="22"/>
          <w:lang w:val="cs-CZ"/>
        </w:rPr>
        <w:t xml:space="preserve">, případně prodávající vystaví dodací list kupujícímu a kupující na něj poznačí, že zboží akceptuje, pokud nastaly akceptační podmínky pro převzetí zboží dle této dohody, zboží je kompletní a prosté vad a odpovídá dílčí objednávce. </w:t>
      </w:r>
    </w:p>
    <w:p w14:paraId="212EB19D" w14:textId="77777777" w:rsidR="006B6B51" w:rsidRPr="00747215" w:rsidRDefault="006B6B51" w:rsidP="006B6B51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lastRenderedPageBreak/>
        <w:t xml:space="preserve">Osobami pověřenými jednat za smluvní strany při plnění dle této dohody jsou: </w:t>
      </w:r>
    </w:p>
    <w:p w14:paraId="1760A051" w14:textId="0795AFC9" w:rsidR="006B6B51" w:rsidRPr="00747215" w:rsidRDefault="006B6B51" w:rsidP="006B6B51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33E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kupujícího: </w:t>
      </w:r>
      <w:r w:rsidRPr="00433E5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33E5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02FBB"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F2F374" w14:textId="148569D8" w:rsidR="00A02FBB" w:rsidRDefault="006B6B51" w:rsidP="00A02FB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prodávajícího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372938A" w14:textId="77777777" w:rsidR="006B6B51" w:rsidRDefault="006B6B51" w:rsidP="00A02FB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>Místem plnění se rozumí sídlo kupujícího na adrese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4D92EC46" w14:textId="77777777" w:rsidR="006B6B51" w:rsidRPr="00747215" w:rsidRDefault="006B6B51" w:rsidP="006B6B51">
      <w:pPr>
        <w:pStyle w:val="Odstavecseseznamem"/>
        <w:widowControl w:val="0"/>
        <w:shd w:val="clear" w:color="auto" w:fill="FFFFFF"/>
        <w:tabs>
          <w:tab w:val="left" w:pos="851"/>
          <w:tab w:val="left" w:pos="1134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cs="Arial"/>
          <w:b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 w:rsidRPr="00747215">
        <w:rPr>
          <w:rFonts w:cs="Arial"/>
          <w:b/>
          <w:color w:val="000000" w:themeColor="text1"/>
          <w:sz w:val="22"/>
          <w:szCs w:val="22"/>
          <w:lang w:val="cs-CZ"/>
        </w:rPr>
        <w:t xml:space="preserve">Jugoslávských partyzánů 1580/3, </w:t>
      </w:r>
      <w:r w:rsidRPr="00747215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Budova B, </w:t>
      </w:r>
      <w:r w:rsidRPr="00747215">
        <w:rPr>
          <w:rFonts w:cs="Arial"/>
          <w:b/>
          <w:color w:val="000000" w:themeColor="text1"/>
          <w:sz w:val="22"/>
          <w:szCs w:val="22"/>
          <w:lang w:val="cs-CZ"/>
        </w:rPr>
        <w:t>160 00 Praha</w:t>
      </w:r>
    </w:p>
    <w:p w14:paraId="187F1CCA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Odpovědnost za škodu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za zboží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dle dílčí objednávky přechází z prodávajícího na kupujícího nejdříve až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řádným dodáním zboží a podpisem předávacího a akceptačního protokolu dle odst. 4. tohoto článku.</w:t>
      </w:r>
    </w:p>
    <w:p w14:paraId="5F801F50" w14:textId="77777777" w:rsidR="006B6B51" w:rsidRPr="00CE6678" w:rsidRDefault="006B6B51" w:rsidP="006B6B51">
      <w:pPr>
        <w:pStyle w:val="Odstavecseseznamem"/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IV. Cena a platební podmínky</w:t>
      </w:r>
    </w:p>
    <w:p w14:paraId="513E272A" w14:textId="77777777" w:rsidR="00A02FBB" w:rsidRDefault="006B6B51" w:rsidP="00A02FB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Cena za zboží (dle jednotlivých položek zboží) je sjednána smluvními stranami </w:t>
      </w:r>
      <w:r w:rsidR="00A02FB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 Ceníku.</w:t>
      </w:r>
    </w:p>
    <w:p w14:paraId="58714DB3" w14:textId="77777777" w:rsidR="006B6B51" w:rsidRPr="003C38A7" w:rsidRDefault="006B6B51" w:rsidP="00A02FB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Tato cena za každou položku je sjednána jako maximální možná. </w:t>
      </w:r>
    </w:p>
    <w:p w14:paraId="0DBEA4E5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Cena za dodání zboží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bude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prodávajícímu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uhrazena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kupujícím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oproti vystavenému daňovému dokladu (faktuře).</w:t>
      </w:r>
    </w:p>
    <w:p w14:paraId="65C8A900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Prodávající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je oprávněn vy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stavit daňový doklad (fakturu) teprve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po řádném dodání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zboží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za dílčí objednávku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kupujícímu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tj.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 podepsání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příslušného pře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dávacího a akceptačního dle čl. 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III odst. 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dohody.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Předávací a akceptační protokol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(v kopii)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bude přílohou vystaveného daňového dokladu (faktury).</w:t>
      </w:r>
    </w:p>
    <w:p w14:paraId="5E084D99" w14:textId="77777777" w:rsidR="006B6B51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Splatnost řádně vystaveného daňového dokladu (faktury) činí 30 dní od data jeho doručení kupujícímu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 D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aňový doklad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(faktura)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musí obsahovat veškeré údaje vyžadované příslušnými právními předpisy, včetně čísla dílčí objednávky kupujícího. Kupující může ve lhůtě splatnosti daňový dokla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 (fakturu) vrátit, obsahuje-li:</w:t>
      </w:r>
    </w:p>
    <w:p w14:paraId="7F95D64C" w14:textId="77777777" w:rsidR="006B6B51" w:rsidRPr="005C170F" w:rsidRDefault="006B6B51" w:rsidP="006B6B51">
      <w:pPr>
        <w:pStyle w:val="Odstavecseseznamem"/>
        <w:widowControl w:val="0"/>
        <w:numPr>
          <w:ilvl w:val="2"/>
          <w:numId w:val="10"/>
        </w:numPr>
        <w:shd w:val="clear" w:color="auto" w:fill="FFFFFF"/>
        <w:tabs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1134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nesprávné nebo neúplné cenové údaje, nesprávné nebo neúplné náležitosti dle právních předpisů; v tomto případě je kupující povinen daňový doklad (fakturu) vrátit s uvedením důvodu vrácení. Tímto okamžikem se ruší lhůta splatnosti a nová lhůta splatnosti počne běžet doručením daňového dokladu (faktury) nového nebo opraveného.</w:t>
      </w:r>
    </w:p>
    <w:p w14:paraId="324B1B25" w14:textId="77777777" w:rsidR="006B6B51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 případě, že kupující daňový doklad (fakturu) vrátí, přestože daňový doklad (faktura) byl vystaven řádně a předepsané náležitosti obsahuje, lhůta splatnosti se nepřerušuje a pokud kupující daňový doklad (fakturu) nezaplatí v původní lhůtě splatnosti, je v prodlení.</w:t>
      </w:r>
    </w:p>
    <w:p w14:paraId="065D25E6" w14:textId="77777777" w:rsidR="006B6B51" w:rsidRPr="00D46BCA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 případě, že kupující uvede v dílčí objednávce označení projektu, z něhož je příslušná dílčí objednávka hrazena, je prodávající povinen jej na daňovém dokladu (faktuře) uvést. V případě, že jej neuvede, užije se obdobně odst. 4 tohoto článku.</w:t>
      </w:r>
    </w:p>
    <w:p w14:paraId="3E8398A9" w14:textId="77777777" w:rsidR="006B6B51" w:rsidRPr="00CE6678" w:rsidRDefault="006B6B51" w:rsidP="006B6B51">
      <w:pPr>
        <w:pStyle w:val="Odstavecseseznamem"/>
        <w:numPr>
          <w:ilvl w:val="0"/>
          <w:numId w:val="8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Doba trvání závazku, ukončení závazku</w:t>
      </w:r>
    </w:p>
    <w:p w14:paraId="59845666" w14:textId="77777777" w:rsidR="006B6B51" w:rsidRDefault="006B6B51" w:rsidP="006B6B51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Tato dohoda </w:t>
      </w:r>
      <w:r w:rsidRPr="00897CF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je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uzavřena na dobu určitou, a to:</w:t>
      </w:r>
    </w:p>
    <w:p w14:paraId="44F35A13" w14:textId="77777777" w:rsidR="006B6B51" w:rsidRDefault="006B6B51" w:rsidP="006B6B51">
      <w:pPr>
        <w:pStyle w:val="Odstavecseseznamem"/>
        <w:widowControl w:val="0"/>
        <w:numPr>
          <w:ilvl w:val="1"/>
          <w:numId w:val="3"/>
        </w:numPr>
        <w:shd w:val="clear" w:color="auto" w:fill="FFFFFF"/>
        <w:tabs>
          <w:tab w:val="left" w:pos="851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na dobu 12 </w:t>
      </w:r>
      <w:r w:rsidRPr="00897CF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měsíců ode dne nabytí účinnosti této dohody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dle čl.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VII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odst.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10</w:t>
      </w:r>
      <w:r w:rsidRPr="00897CF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dohod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y, nebo</w:t>
      </w:r>
    </w:p>
    <w:p w14:paraId="46D36EA2" w14:textId="77777777" w:rsidR="006B6B51" w:rsidRPr="00AF302B" w:rsidRDefault="006B6B51" w:rsidP="006B6B51">
      <w:pPr>
        <w:pStyle w:val="Odstavecseseznamem"/>
        <w:widowControl w:val="0"/>
        <w:numPr>
          <w:ilvl w:val="1"/>
          <w:numId w:val="3"/>
        </w:numPr>
        <w:shd w:val="clear" w:color="auto" w:fill="FFFFFF"/>
        <w:tabs>
          <w:tab w:val="left" w:pos="851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AF302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dosažením součtu hodnot všech provedených dílčích objednávek výše </w:t>
      </w:r>
      <w:r w:rsidR="00A614D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2 900 000</w:t>
      </w:r>
      <w:r w:rsidR="002C27F9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Kč be</w:t>
      </w:r>
      <w:r w:rsidRPr="00AF302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 DPH,</w:t>
      </w:r>
    </w:p>
    <w:p w14:paraId="38480DA0" w14:textId="77777777" w:rsidR="006B6B51" w:rsidRPr="00D70CA0" w:rsidRDefault="006B6B51" w:rsidP="006B6B51">
      <w:pPr>
        <w:widowControl w:val="0"/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podle toho, která z uvedených skutečností nastane dříve.</w:t>
      </w:r>
    </w:p>
    <w:p w14:paraId="3F3F859F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Ukončení této dohody je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též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možno učinit dohodou smluvních stran.</w:t>
      </w:r>
    </w:p>
    <w:p w14:paraId="02F5FE15" w14:textId="77777777" w:rsidR="006B6B51" w:rsidRPr="00D70CA0" w:rsidRDefault="006B6B51" w:rsidP="006B6B51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Ukončení této dohody je dále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možné, kromě případů speciálních ustanovení </w:t>
      </w:r>
      <w:r>
        <w:rPr>
          <w:rFonts w:asciiTheme="minorHAnsi" w:hAnsiTheme="minorHAnsi" w:cstheme="minorHAnsi"/>
          <w:sz w:val="22"/>
          <w:szCs w:val="22"/>
          <w:lang w:val="cs-CZ"/>
        </w:rPr>
        <w:t>dle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 dohody, o kterých tak stanoví, i výpovědí učiněn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ou kteroukoliv ze stran straně druhé. Výpovědní doba činí 3 měsíce od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dne doručení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oznámení výpovědi druhé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smluvní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straně.</w:t>
      </w:r>
    </w:p>
    <w:p w14:paraId="32210C86" w14:textId="77777777" w:rsidR="006B6B51" w:rsidRPr="00CE6678" w:rsidRDefault="006B6B51" w:rsidP="006B6B51">
      <w:pPr>
        <w:pStyle w:val="Odstavecseseznamem"/>
        <w:numPr>
          <w:ilvl w:val="0"/>
          <w:numId w:val="8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Sankce a odstoupení od rámcové dohody</w:t>
      </w:r>
    </w:p>
    <w:p w14:paraId="38EA408E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lastRenderedPageBreak/>
        <w:t xml:space="preserve">Nezašle-li prodávající kupujícímu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potvrzení přijetí dílčí objednávky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ve lhůtě dle čl. III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odst. 2. písm. b), učiní kupující opakovanou výzvu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 stanoví mu náhradní lhůtu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nejméně však dva pracovní dny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Nezašle-li prodávající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potvrzení přijetí dílčí objednávky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ani v této náhradní lhůtě, je povinen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uhradit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kupujícímu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smluvní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pokutu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ve výši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5 000 Kč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za každý den prodlení.</w:t>
      </w:r>
    </w:p>
    <w:p w14:paraId="0DBB6A32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Nedodrží-li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prodávající lhůty k dodání </w:t>
      </w:r>
      <w:r>
        <w:rPr>
          <w:rFonts w:asciiTheme="minorHAnsi" w:hAnsiTheme="minorHAnsi" w:cstheme="minorHAnsi"/>
          <w:sz w:val="22"/>
          <w:szCs w:val="22"/>
          <w:lang w:val="cs-CZ"/>
        </w:rPr>
        <w:t>zboží dle čl. III odst. 3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, je povinen uhradit kupujícímu </w:t>
      </w:r>
      <w:r>
        <w:rPr>
          <w:rFonts w:asciiTheme="minorHAnsi" w:hAnsiTheme="minorHAnsi" w:cstheme="minorHAnsi"/>
          <w:sz w:val="22"/>
          <w:szCs w:val="22"/>
          <w:lang w:val="cs-CZ"/>
        </w:rPr>
        <w:t>smluvní pokutu ve výši 0,4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> % z celkové ceny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příslušné dílčí objednávky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 za každý započatý den prodlení až do výše částky celkové ceny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příslušné dílčí objednávky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69E5B523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Nedodrží-li kupující lhůtu splatnosti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dílčích 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faktur podle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čl. IV odst.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dohody, je povinen uhradit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prodávajícímu úrok z prodlení ve výši 0,1 % z neuhrazené části splatné částky za každý započatý den prodlení. </w:t>
      </w:r>
    </w:p>
    <w:p w14:paraId="2C62E9AA" w14:textId="77777777" w:rsidR="006B6B51" w:rsidRPr="002366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Kupující je 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oprávněn započíst závazek prodávajícího vzniklý z porušení této dohody – smluvní </w:t>
      </w:r>
      <w:r w:rsidRPr="002366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pokutu přímo oproti vlastním nesplaceným závazkům vůči prodávajícímu.</w:t>
      </w:r>
    </w:p>
    <w:p w14:paraId="69AAF273" w14:textId="77777777" w:rsidR="006B6B51" w:rsidRPr="002366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2366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Nebude-li zboží řádně, včas a bez vad a nedodělků bránících jeho řádnému užívání dodáno ve lhůtě dle čl. III odst. 3 dohody platí, že kupující může bez předchozí výzvy od příslušné dílčí objednávky odstoupit. Ostatní sankční nároky dle této dohody tím zůstávají nedotčeny.</w:t>
      </w:r>
    </w:p>
    <w:p w14:paraId="5E2421DB" w14:textId="77777777" w:rsidR="006B6B51" w:rsidRPr="002366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2366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Vznikne-li prodlení prodávajícího v dodání zboží dle dílčí objednávky dle čl. III odst. 3 dohody delší než 15 kalendářních dnů, je kupující oprávněn odstoupit od této dohody i bez učinění předchozí výzvy prodávajícímu. Ostatní sankční nároky dle této dohody tím zůstávají nedotčeny.</w:t>
      </w:r>
    </w:p>
    <w:p w14:paraId="2B33C6F8" w14:textId="77777777" w:rsidR="006B6B51" w:rsidRPr="00BA10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Sankce určené procentní částkou se vypočítávají z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 celkové 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ceny příslušné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dílčí 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objednávky v 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CZK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bez DPH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dle čl. IV. odst. 1 dohody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resp. Ceníku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</w:p>
    <w:p w14:paraId="7C64EDF5" w14:textId="77777777" w:rsidR="006B6B51" w:rsidRPr="00F677BA" w:rsidRDefault="006B6B51" w:rsidP="006B6B51">
      <w:pPr>
        <w:pStyle w:val="Odstavecseseznamem"/>
        <w:numPr>
          <w:ilvl w:val="0"/>
          <w:numId w:val="8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Závěrečná ustanovení</w:t>
      </w:r>
    </w:p>
    <w:p w14:paraId="4709D65A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Smluvní strany jsou povinny poskytnout si dostatečnou součinnost při plnění této dohody, jakož i při vyhodnocování spokojenosti s jejím plněním.</w:t>
      </w:r>
    </w:p>
    <w:p w14:paraId="5F710865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Smluvní strany jsou povinny předávat si navzájem vždy aktuální, pravdivé a úplné informace nezbytně nutné k řádnému a včasnému plnění této dohody.</w:t>
      </w:r>
    </w:p>
    <w:p w14:paraId="0E5BF265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Tato dohoda je vyhotovena v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 elektronické formě a podepsána elektronickými podpisy včetně jejích příloh.</w:t>
      </w:r>
    </w:p>
    <w:p w14:paraId="786ECF26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Nevynutitelnost nebo neplatnost kteréhokoli článku, odstavce, pododstavce nebo ustanovení této dohody neovlivní vynutitelnost nebo platnost ustanovení ostatních. V případě, že jakýkoli takovýto článek, odstavec, pododstavec nebo ustanovení by měl z jakéhokoli důvodu pozbýt platnosti (zejména z důvodu rozporu s aplikovatelnými zákony a ostatními právními předpisy), provedou smluvní strany konzultace a dohodnou se na právně přijatelném způsobu provedení záměrů obsažených v takové části dohody, jež pozbyla platnosti.</w:t>
      </w:r>
    </w:p>
    <w:p w14:paraId="4E0DE96D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Prodávající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cs-CZ"/>
        </w:rPr>
        <w:t xml:space="preserve">se zavazuje řádně uchovávat originál dohody, včetně jejích případných dodatků a příloh, veškeré originály účetních dokladů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minimálně po dobu deseti let od jejich vystavení a na případnou výzvu kupujícího mu bezplatně poskytnout prosté kopie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cs-CZ"/>
        </w:rPr>
        <w:t xml:space="preserve">. </w:t>
      </w:r>
    </w:p>
    <w:p w14:paraId="06C0E7EC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sz w:val="22"/>
          <w:lang w:val="cs-CZ"/>
        </w:rPr>
        <w:t>Prodávající bere na vědomí, že on sám i jeho poddodavatelé jsou povinni spolupodílet se a umožnit kontrolu vynaložených prostředků vyplývající ze zákona č. 320/2001 Sb., o finanční kontrole ve veřejné správě a o změně některých zákonů, ve znění pozdějších předpisů.</w:t>
      </w:r>
    </w:p>
    <w:p w14:paraId="318DFCBC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Prodávající prohlašuje, že je mu známa skutečnost, že sazba daně z přidané hodnoty bude stanovena v souladu s právními předpisy platnými v době podpisu této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dohody.</w:t>
      </w:r>
    </w:p>
    <w:p w14:paraId="2F259463" w14:textId="77777777" w:rsidR="006B6B51" w:rsidRPr="004D756A" w:rsidRDefault="006B6B51" w:rsidP="006B6B51">
      <w:pPr>
        <w:numPr>
          <w:ilvl w:val="0"/>
          <w:numId w:val="2"/>
        </w:numPr>
        <w:spacing w:after="120"/>
        <w:ind w:hanging="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Prodávající</w:t>
      </w:r>
      <w:r w:rsidRPr="004D756A">
        <w:rPr>
          <w:rFonts w:cs="Calibri"/>
          <w:sz w:val="22"/>
          <w:szCs w:val="22"/>
        </w:rPr>
        <w:t xml:space="preserve"> prohlašuje, že mu je známa skutečnost, že není oprávněn podmínit tuto nabídku jakoukoliv protinabídkou, </w:t>
      </w:r>
      <w:r>
        <w:rPr>
          <w:rFonts w:cs="Calibri"/>
          <w:sz w:val="22"/>
          <w:szCs w:val="22"/>
        </w:rPr>
        <w:t xml:space="preserve">prodávajícímu </w:t>
      </w:r>
      <w:r w:rsidRPr="004D756A">
        <w:rPr>
          <w:rFonts w:cs="Calibri"/>
          <w:sz w:val="22"/>
          <w:szCs w:val="22"/>
        </w:rPr>
        <w:t xml:space="preserve">je známo, že k takovým ustanovení nebude </w:t>
      </w:r>
      <w:r>
        <w:rPr>
          <w:rFonts w:cs="Calibri"/>
          <w:sz w:val="22"/>
          <w:szCs w:val="22"/>
        </w:rPr>
        <w:t>kupující</w:t>
      </w:r>
      <w:r w:rsidRPr="004D756A">
        <w:rPr>
          <w:rFonts w:cs="Calibri"/>
          <w:sz w:val="22"/>
          <w:szCs w:val="22"/>
        </w:rPr>
        <w:t xml:space="preserve"> přihlížet a smluvní strany budou činit, jako by jich nebylo.</w:t>
      </w:r>
    </w:p>
    <w:p w14:paraId="4FBA5682" w14:textId="77777777" w:rsidR="006B6B51" w:rsidRPr="0082574E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Tato dohoda se řídí českým právem a ke sporům z ní vzniklým jsou místně, věcně a funkčně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lastRenderedPageBreak/>
        <w:t>příslušné soudy České republiky.</w:t>
      </w:r>
    </w:p>
    <w:p w14:paraId="3A958A13" w14:textId="77777777" w:rsidR="006B6B51" w:rsidRPr="00860339" w:rsidRDefault="006B6B51" w:rsidP="006B6B51">
      <w:pPr>
        <w:pStyle w:val="Odstavecseseznamem"/>
        <w:numPr>
          <w:ilvl w:val="0"/>
          <w:numId w:val="2"/>
        </w:numPr>
        <w:tabs>
          <w:tab w:val="left" w:pos="142"/>
          <w:tab w:val="left" w:pos="709"/>
        </w:tabs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Smluvní strany prohlašují, že jim je známa skutečnost, že tato dohoda nabývá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platnosti podpisem obou smluvních stran a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účinnosti dnem jejího zveřejnění v registru smluv dle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ustanovení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§ 6 zákona č. 340/2015 Sb., o registru smluv, ve znění pozdějších předpisů, a že proti tomuto zveřejnění dohody se všemi údaji, které v ní jsou, nemají žádných námitek a ani jim není známo, že by se vyskytovaly překážky bránící jejímu zveřejnění v plném znění.</w:t>
      </w:r>
    </w:p>
    <w:p w14:paraId="15DED45F" w14:textId="77777777" w:rsidR="00E56C4A" w:rsidRPr="007101BC" w:rsidRDefault="00E56C4A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Nedílnou součástí této dohody je Příloha č. 1 - </w:t>
      </w:r>
      <w:r w:rsidRPr="00A02FBB">
        <w:rPr>
          <w:rFonts w:asciiTheme="minorHAnsi" w:hAnsiTheme="minorHAnsi" w:cstheme="minorHAnsi"/>
          <w:sz w:val="22"/>
          <w:szCs w:val="22"/>
          <w:lang w:val="cs-CZ"/>
        </w:rPr>
        <w:t>Ceník spotřebního materiálu pro 3D tisk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</w:p>
    <w:p w14:paraId="2085EF58" w14:textId="77777777" w:rsidR="006B6B51" w:rsidRPr="007101BC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Obě smluvní strany prohlašují, že si dohodu před jejím podpisem přečetly, že byla uzavřena po projednání podle jejich pravé a svobodné a vážné vůle.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</w:p>
    <w:p w14:paraId="4D3BCA9A" w14:textId="77777777" w:rsidR="006B6B51" w:rsidRPr="00F677BA" w:rsidRDefault="006B6B51" w:rsidP="006B6B51">
      <w:pPr>
        <w:spacing w:after="120"/>
        <w:ind w:firstLine="567"/>
        <w:rPr>
          <w:rFonts w:asciiTheme="minorHAnsi" w:hAnsiTheme="minorHAnsi" w:cstheme="minorHAnsi"/>
          <w:color w:val="000000" w:themeColor="text1"/>
          <w:sz w:val="22"/>
        </w:rPr>
      </w:pPr>
      <w:r w:rsidRPr="00F677BA">
        <w:rPr>
          <w:rFonts w:asciiTheme="minorHAnsi" w:hAnsiTheme="minorHAnsi" w:cstheme="minorHAnsi"/>
          <w:color w:val="000000" w:themeColor="text1"/>
          <w:sz w:val="22"/>
        </w:rPr>
        <w:t>Autentičnost dohody potvrzují zástupci smluvních stran svými podpisy:</w:t>
      </w:r>
    </w:p>
    <w:tbl>
      <w:tblPr>
        <w:tblW w:w="9442" w:type="dxa"/>
        <w:tblInd w:w="5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1"/>
        <w:gridCol w:w="4591"/>
      </w:tblGrid>
      <w:tr w:rsidR="006B6B51" w:rsidRPr="00CC15C8" w14:paraId="779C0712" w14:textId="77777777" w:rsidTr="00764E4E">
        <w:trPr>
          <w:trHeight w:val="246"/>
        </w:trPr>
        <w:tc>
          <w:tcPr>
            <w:tcW w:w="4851" w:type="dxa"/>
          </w:tcPr>
          <w:p w14:paraId="09D8424D" w14:textId="77777777" w:rsidR="006B6B51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743AF8" w14:textId="77777777" w:rsidR="006B6B51" w:rsidRPr="00F677BA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677BA">
              <w:rPr>
                <w:rFonts w:asciiTheme="minorHAnsi" w:hAnsiTheme="minorHAnsi" w:cstheme="minorHAnsi"/>
                <w:color w:val="000000" w:themeColor="text1"/>
              </w:rPr>
              <w:t>Za kupujícího:</w:t>
            </w:r>
          </w:p>
          <w:p w14:paraId="2E07225F" w14:textId="77777777" w:rsidR="006B6B51" w:rsidRPr="00552B1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91" w:type="dxa"/>
          </w:tcPr>
          <w:p w14:paraId="62BE6E07" w14:textId="77777777" w:rsidR="006B6B51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E8FE260" w14:textId="77777777" w:rsidR="006B6B51" w:rsidRPr="00F677BA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677BA">
              <w:rPr>
                <w:rFonts w:asciiTheme="minorHAnsi" w:hAnsiTheme="minorHAnsi" w:cstheme="minorHAnsi"/>
                <w:color w:val="000000" w:themeColor="text1"/>
              </w:rPr>
              <w:t>Za prodávajícího:</w:t>
            </w:r>
          </w:p>
          <w:p w14:paraId="30EC62EE" w14:textId="77777777" w:rsidR="006B6B51" w:rsidRPr="00552B1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6B51" w:rsidRPr="00CC15C8" w14:paraId="38553A2C" w14:textId="77777777" w:rsidTr="00764E4E">
        <w:trPr>
          <w:trHeight w:val="332"/>
        </w:trPr>
        <w:tc>
          <w:tcPr>
            <w:tcW w:w="4851" w:type="dxa"/>
          </w:tcPr>
          <w:p w14:paraId="37C829BD" w14:textId="77777777" w:rsidR="006B6B51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F5F63A" w14:textId="77777777" w:rsidR="006B6B51" w:rsidRPr="00552B1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91" w:type="dxa"/>
          </w:tcPr>
          <w:p w14:paraId="3AF3DC3F" w14:textId="77777777" w:rsidR="006B6B51" w:rsidRPr="00F677BA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6B51" w:rsidRPr="00CC15C8" w14:paraId="56E88D04" w14:textId="77777777" w:rsidTr="00764E4E">
        <w:trPr>
          <w:trHeight w:val="597"/>
        </w:trPr>
        <w:tc>
          <w:tcPr>
            <w:tcW w:w="4851" w:type="dxa"/>
          </w:tcPr>
          <w:p w14:paraId="38A5894B" w14:textId="77777777" w:rsidR="006B6B51" w:rsidRPr="00F53086" w:rsidRDefault="006B6B51" w:rsidP="00764E4E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F53086">
              <w:rPr>
                <w:rFonts w:asciiTheme="minorHAnsi" w:hAnsiTheme="minorHAnsi" w:cstheme="minorHAnsi"/>
                <w:color w:val="000000" w:themeColor="text1"/>
                <w:sz w:val="22"/>
              </w:rPr>
              <w:t>__________________________</w:t>
            </w:r>
          </w:p>
          <w:p w14:paraId="6D9D068F" w14:textId="77777777" w:rsidR="006B6B51" w:rsidRPr="00F5308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53086">
              <w:rPr>
                <w:rFonts w:asciiTheme="minorHAnsi" w:hAnsiTheme="minorHAnsi" w:cstheme="minorHAnsi"/>
                <w:color w:val="000000" w:themeColor="text1"/>
              </w:rPr>
              <w:t>Ředitel CIIRC</w:t>
            </w:r>
          </w:p>
        </w:tc>
        <w:tc>
          <w:tcPr>
            <w:tcW w:w="4591" w:type="dxa"/>
          </w:tcPr>
          <w:p w14:paraId="2CFBE763" w14:textId="77777777" w:rsidR="006B6B51" w:rsidRPr="00F53086" w:rsidRDefault="00F53086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53086">
              <w:rPr>
                <w:rFonts w:asciiTheme="minorHAnsi" w:hAnsiTheme="minorHAnsi" w:cstheme="minorHAnsi"/>
                <w:color w:val="000000" w:themeColor="text1"/>
              </w:rPr>
              <w:t>Jednatel</w:t>
            </w:r>
          </w:p>
        </w:tc>
      </w:tr>
    </w:tbl>
    <w:p w14:paraId="3276BA4E" w14:textId="77777777" w:rsidR="006B6B51" w:rsidRPr="00552B16" w:rsidRDefault="006B6B51" w:rsidP="006B6B51">
      <w:pPr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FD612BD" w14:textId="77777777" w:rsidR="0060321C" w:rsidRDefault="0060321C"/>
    <w:sectPr w:rsidR="0060321C" w:rsidSect="003C38A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C463" w14:textId="77777777" w:rsidR="0017583D" w:rsidRDefault="0017583D">
      <w:r>
        <w:separator/>
      </w:r>
    </w:p>
  </w:endnote>
  <w:endnote w:type="continuationSeparator" w:id="0">
    <w:p w14:paraId="6CDC8C47" w14:textId="77777777" w:rsidR="0017583D" w:rsidRDefault="0017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E9D3" w14:textId="77777777" w:rsidR="00000000" w:rsidRPr="00554B78" w:rsidRDefault="006B6B51" w:rsidP="00361233">
    <w:pPr>
      <w:pStyle w:val="Zpat"/>
      <w:jc w:val="center"/>
      <w:rPr>
        <w:rFonts w:asciiTheme="minorHAnsi" w:hAnsiTheme="minorHAnsi" w:cstheme="minorHAnsi"/>
        <w:sz w:val="20"/>
      </w:rPr>
    </w:pPr>
    <w:r w:rsidRPr="00554B78">
      <w:rPr>
        <w:rFonts w:asciiTheme="minorHAnsi" w:hAnsiTheme="minorHAnsi" w:cstheme="minorHAnsi"/>
        <w:sz w:val="20"/>
      </w:rPr>
      <w:t xml:space="preserve">Strana </w:t>
    </w:r>
    <w:r w:rsidRPr="00554B78">
      <w:rPr>
        <w:rFonts w:asciiTheme="minorHAnsi" w:hAnsiTheme="minorHAnsi" w:cstheme="minorHAnsi"/>
        <w:sz w:val="20"/>
      </w:rPr>
      <w:fldChar w:fldCharType="begin"/>
    </w:r>
    <w:r w:rsidRPr="00554B78">
      <w:rPr>
        <w:rFonts w:asciiTheme="minorHAnsi" w:hAnsiTheme="minorHAnsi" w:cstheme="minorHAnsi"/>
        <w:sz w:val="20"/>
      </w:rPr>
      <w:instrText xml:space="preserve"> PAGE </w:instrText>
    </w:r>
    <w:r w:rsidRPr="00554B78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554B78">
      <w:rPr>
        <w:rFonts w:asciiTheme="minorHAnsi" w:hAnsiTheme="minorHAnsi" w:cstheme="minorHAnsi"/>
        <w:sz w:val="20"/>
      </w:rPr>
      <w:fldChar w:fldCharType="end"/>
    </w:r>
    <w:r w:rsidRPr="00554B78">
      <w:rPr>
        <w:rFonts w:asciiTheme="minorHAnsi" w:hAnsiTheme="minorHAnsi" w:cstheme="minorHAnsi"/>
        <w:sz w:val="20"/>
      </w:rPr>
      <w:t xml:space="preserve"> (celkem </w:t>
    </w:r>
    <w:r w:rsidRPr="00554B78">
      <w:rPr>
        <w:rFonts w:asciiTheme="minorHAnsi" w:hAnsiTheme="minorHAnsi" w:cstheme="minorHAnsi"/>
        <w:sz w:val="20"/>
      </w:rPr>
      <w:fldChar w:fldCharType="begin"/>
    </w:r>
    <w:r w:rsidRPr="00554B78">
      <w:rPr>
        <w:rFonts w:asciiTheme="minorHAnsi" w:hAnsiTheme="minorHAnsi" w:cstheme="minorHAnsi"/>
        <w:sz w:val="20"/>
      </w:rPr>
      <w:instrText xml:space="preserve"> NUMPAGES </w:instrText>
    </w:r>
    <w:r w:rsidRPr="00554B78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554B78">
      <w:rPr>
        <w:rFonts w:asciiTheme="minorHAnsi" w:hAnsiTheme="minorHAnsi" w:cstheme="minorHAnsi"/>
        <w:sz w:val="20"/>
      </w:rPr>
      <w:fldChar w:fldCharType="end"/>
    </w:r>
    <w:r w:rsidRPr="00554B78">
      <w:rPr>
        <w:rFonts w:asciiTheme="minorHAnsi" w:hAnsiTheme="minorHAnsi" w:cstheme="minorHAnsi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FAB" w14:textId="77777777" w:rsidR="00000000" w:rsidRPr="00D57473" w:rsidRDefault="006B6B51" w:rsidP="00D57473">
    <w:pPr>
      <w:pStyle w:val="Zpat"/>
      <w:jc w:val="center"/>
      <w:rPr>
        <w:rFonts w:asciiTheme="minorHAnsi" w:hAnsiTheme="minorHAnsi" w:cstheme="minorHAnsi"/>
        <w:sz w:val="22"/>
        <w:szCs w:val="18"/>
      </w:rPr>
    </w:pPr>
    <w:r w:rsidRPr="00D57473">
      <w:rPr>
        <w:rFonts w:asciiTheme="minorHAnsi" w:hAnsiTheme="minorHAnsi" w:cstheme="minorHAnsi"/>
        <w:sz w:val="20"/>
        <w:szCs w:val="16"/>
      </w:rPr>
      <w:t xml:space="preserve">Strana </w:t>
    </w:r>
    <w:r w:rsidRPr="00D57473">
      <w:rPr>
        <w:rFonts w:asciiTheme="minorHAnsi" w:hAnsiTheme="minorHAnsi" w:cstheme="minorHAnsi"/>
        <w:sz w:val="20"/>
        <w:szCs w:val="16"/>
      </w:rPr>
      <w:fldChar w:fldCharType="begin"/>
    </w:r>
    <w:r w:rsidRPr="00D57473">
      <w:rPr>
        <w:rFonts w:asciiTheme="minorHAnsi" w:hAnsiTheme="minorHAnsi" w:cstheme="minorHAnsi"/>
        <w:sz w:val="20"/>
        <w:szCs w:val="16"/>
      </w:rPr>
      <w:instrText xml:space="preserve"> PAGE </w:instrText>
    </w:r>
    <w:r w:rsidRPr="00D57473">
      <w:rPr>
        <w:rFonts w:asciiTheme="minorHAnsi" w:hAnsiTheme="minorHAnsi" w:cstheme="minorHAnsi"/>
        <w:sz w:val="20"/>
        <w:szCs w:val="16"/>
      </w:rPr>
      <w:fldChar w:fldCharType="separate"/>
    </w:r>
    <w:r>
      <w:rPr>
        <w:rFonts w:asciiTheme="minorHAnsi" w:hAnsiTheme="minorHAnsi" w:cstheme="minorHAnsi"/>
        <w:noProof/>
        <w:sz w:val="20"/>
        <w:szCs w:val="16"/>
      </w:rPr>
      <w:t>1</w:t>
    </w:r>
    <w:r w:rsidRPr="00D57473">
      <w:rPr>
        <w:rFonts w:asciiTheme="minorHAnsi" w:hAnsiTheme="minorHAnsi" w:cstheme="minorHAnsi"/>
        <w:sz w:val="20"/>
        <w:szCs w:val="16"/>
      </w:rPr>
      <w:fldChar w:fldCharType="end"/>
    </w:r>
    <w:r w:rsidRPr="00D57473">
      <w:rPr>
        <w:rFonts w:asciiTheme="minorHAnsi" w:hAnsiTheme="minorHAnsi" w:cstheme="minorHAnsi"/>
        <w:sz w:val="20"/>
        <w:szCs w:val="16"/>
      </w:rPr>
      <w:t xml:space="preserve"> (celkem </w:t>
    </w:r>
    <w:r w:rsidRPr="00D57473">
      <w:rPr>
        <w:rFonts w:asciiTheme="minorHAnsi" w:hAnsiTheme="minorHAnsi" w:cstheme="minorHAnsi"/>
        <w:sz w:val="20"/>
        <w:szCs w:val="16"/>
      </w:rPr>
      <w:fldChar w:fldCharType="begin"/>
    </w:r>
    <w:r w:rsidRPr="00D57473">
      <w:rPr>
        <w:rFonts w:asciiTheme="minorHAnsi" w:hAnsiTheme="minorHAnsi" w:cstheme="minorHAnsi"/>
        <w:sz w:val="20"/>
        <w:szCs w:val="16"/>
      </w:rPr>
      <w:instrText xml:space="preserve"> NUMPAGES </w:instrText>
    </w:r>
    <w:r w:rsidRPr="00D57473">
      <w:rPr>
        <w:rFonts w:asciiTheme="minorHAnsi" w:hAnsiTheme="minorHAnsi" w:cstheme="minorHAnsi"/>
        <w:sz w:val="20"/>
        <w:szCs w:val="16"/>
      </w:rPr>
      <w:fldChar w:fldCharType="separate"/>
    </w:r>
    <w:r>
      <w:rPr>
        <w:rFonts w:asciiTheme="minorHAnsi" w:hAnsiTheme="minorHAnsi" w:cstheme="minorHAnsi"/>
        <w:noProof/>
        <w:sz w:val="20"/>
        <w:szCs w:val="16"/>
      </w:rPr>
      <w:t>7</w:t>
    </w:r>
    <w:r w:rsidRPr="00D57473">
      <w:rPr>
        <w:rFonts w:asciiTheme="minorHAnsi" w:hAnsiTheme="minorHAnsi" w:cstheme="minorHAnsi"/>
        <w:sz w:val="20"/>
        <w:szCs w:val="16"/>
      </w:rPr>
      <w:fldChar w:fldCharType="end"/>
    </w:r>
    <w:r w:rsidRPr="00D57473">
      <w:rPr>
        <w:rFonts w:asciiTheme="minorHAnsi" w:hAnsiTheme="minorHAnsi" w:cstheme="minorHAnsi"/>
        <w:sz w:val="20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7C7A" w14:textId="77777777" w:rsidR="0017583D" w:rsidRDefault="0017583D">
      <w:r>
        <w:separator/>
      </w:r>
    </w:p>
  </w:footnote>
  <w:footnote w:type="continuationSeparator" w:id="0">
    <w:p w14:paraId="1A10C795" w14:textId="77777777" w:rsidR="0017583D" w:rsidRDefault="0017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41D5" w14:textId="77777777" w:rsidR="00000000" w:rsidRDefault="006B6B51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DED1C" wp14:editId="1A2E0F22">
          <wp:simplePos x="0" y="0"/>
          <wp:positionH relativeFrom="column">
            <wp:posOffset>13970</wp:posOffset>
          </wp:positionH>
          <wp:positionV relativeFrom="page">
            <wp:posOffset>209550</wp:posOffset>
          </wp:positionV>
          <wp:extent cx="1857375" cy="667385"/>
          <wp:effectExtent l="0" t="0" r="9525" b="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DC0F" w14:textId="77777777" w:rsidR="00000000" w:rsidRDefault="006B6B5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75B86" wp14:editId="594F0B28">
          <wp:simplePos x="0" y="0"/>
          <wp:positionH relativeFrom="column">
            <wp:posOffset>-152400</wp:posOffset>
          </wp:positionH>
          <wp:positionV relativeFrom="paragraph">
            <wp:posOffset>-209550</wp:posOffset>
          </wp:positionV>
          <wp:extent cx="1857375" cy="667431"/>
          <wp:effectExtent l="0" t="0" r="0" b="0"/>
          <wp:wrapTight wrapText="bothSides">
            <wp:wrapPolygon edited="0">
              <wp:start x="0" y="0"/>
              <wp:lineTo x="0" y="20963"/>
              <wp:lineTo x="21268" y="20963"/>
              <wp:lineTo x="2126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67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9A26972"/>
    <w:multiLevelType w:val="hybridMultilevel"/>
    <w:tmpl w:val="98A8E772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88B"/>
    <w:multiLevelType w:val="hybridMultilevel"/>
    <w:tmpl w:val="1460FC12"/>
    <w:lvl w:ilvl="0" w:tplc="39FA8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83174"/>
    <w:multiLevelType w:val="hybridMultilevel"/>
    <w:tmpl w:val="B0345B52"/>
    <w:lvl w:ilvl="0" w:tplc="9B1E714A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402BBA"/>
    <w:multiLevelType w:val="hybridMultilevel"/>
    <w:tmpl w:val="6B6A4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93440"/>
    <w:multiLevelType w:val="hybridMultilevel"/>
    <w:tmpl w:val="7BF6EB0A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6822648C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5E24"/>
    <w:multiLevelType w:val="hybridMultilevel"/>
    <w:tmpl w:val="A348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C7842"/>
    <w:multiLevelType w:val="hybridMultilevel"/>
    <w:tmpl w:val="0A3A9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78BB"/>
    <w:multiLevelType w:val="hybridMultilevel"/>
    <w:tmpl w:val="BFA012EE"/>
    <w:lvl w:ilvl="0" w:tplc="F612B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6A2AB7"/>
    <w:multiLevelType w:val="hybridMultilevel"/>
    <w:tmpl w:val="30BAA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3431C"/>
    <w:multiLevelType w:val="hybridMultilevel"/>
    <w:tmpl w:val="078E4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22093">
    <w:abstractNumId w:val="0"/>
  </w:num>
  <w:num w:numId="2" w16cid:durableId="1246645489">
    <w:abstractNumId w:val="11"/>
  </w:num>
  <w:num w:numId="3" w16cid:durableId="162669374">
    <w:abstractNumId w:val="1"/>
  </w:num>
  <w:num w:numId="4" w16cid:durableId="93134793">
    <w:abstractNumId w:val="6"/>
  </w:num>
  <w:num w:numId="5" w16cid:durableId="406147499">
    <w:abstractNumId w:val="2"/>
  </w:num>
  <w:num w:numId="6" w16cid:durableId="920676668">
    <w:abstractNumId w:val="10"/>
  </w:num>
  <w:num w:numId="7" w16cid:durableId="1796630168">
    <w:abstractNumId w:val="9"/>
  </w:num>
  <w:num w:numId="8" w16cid:durableId="1945846817">
    <w:abstractNumId w:val="3"/>
  </w:num>
  <w:num w:numId="9" w16cid:durableId="550388357">
    <w:abstractNumId w:val="7"/>
  </w:num>
  <w:num w:numId="10" w16cid:durableId="194738344">
    <w:abstractNumId w:val="5"/>
  </w:num>
  <w:num w:numId="11" w16cid:durableId="217522837">
    <w:abstractNumId w:val="4"/>
  </w:num>
  <w:num w:numId="12" w16cid:durableId="214239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02179"/>
    <w:rsid w:val="00111D63"/>
    <w:rsid w:val="0017583D"/>
    <w:rsid w:val="002336EE"/>
    <w:rsid w:val="002C27F9"/>
    <w:rsid w:val="002D2349"/>
    <w:rsid w:val="002F71E9"/>
    <w:rsid w:val="00381D64"/>
    <w:rsid w:val="00433E57"/>
    <w:rsid w:val="004823F1"/>
    <w:rsid w:val="0060321C"/>
    <w:rsid w:val="006B6B51"/>
    <w:rsid w:val="006E2666"/>
    <w:rsid w:val="006F1E8E"/>
    <w:rsid w:val="007101BC"/>
    <w:rsid w:val="008155F6"/>
    <w:rsid w:val="009E3B69"/>
    <w:rsid w:val="00A02FBB"/>
    <w:rsid w:val="00A16463"/>
    <w:rsid w:val="00A614DB"/>
    <w:rsid w:val="00AB0D38"/>
    <w:rsid w:val="00B305C4"/>
    <w:rsid w:val="00C40FA1"/>
    <w:rsid w:val="00D029E2"/>
    <w:rsid w:val="00E56C4A"/>
    <w:rsid w:val="00F0757E"/>
    <w:rsid w:val="00F53086"/>
    <w:rsid w:val="00FC6B01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2D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B5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6B51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6B6B51"/>
    <w:pPr>
      <w:keepNext w:val="0"/>
      <w:numPr>
        <w:ilvl w:val="1"/>
        <w:numId w:val="1"/>
      </w:numPr>
      <w:spacing w:before="0" w:after="0"/>
      <w:jc w:val="both"/>
      <w:outlineLvl w:val="1"/>
    </w:pPr>
    <w:rPr>
      <w:rFonts w:ascii="Palatino Linotype" w:hAnsi="Palatino Linotype"/>
      <w:b w:val="0"/>
      <w:bCs w:val="0"/>
      <w:iCs/>
      <w:color w:val="00000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B51"/>
    <w:rPr>
      <w:rFonts w:ascii="Calibri" w:eastAsia="Times New Roman" w:hAnsi="Calibri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6B6B51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paragraph" w:styleId="Zhlav">
    <w:name w:val="header"/>
    <w:basedOn w:val="Normln"/>
    <w:link w:val="ZhlavChar"/>
    <w:uiPriority w:val="99"/>
    <w:rsid w:val="006B6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B51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B6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6B51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BSnormln">
    <w:name w:val="SBS normální"/>
    <w:basedOn w:val="Normln"/>
    <w:rsid w:val="006B6B51"/>
    <w:pPr>
      <w:spacing w:before="120"/>
    </w:pPr>
    <w:rPr>
      <w:rFonts w:ascii="Arial" w:hAnsi="Arial"/>
      <w:sz w:val="22"/>
    </w:rPr>
  </w:style>
  <w:style w:type="paragraph" w:customStyle="1" w:styleId="SBSSmlouva">
    <w:name w:val="SBS Smlouva"/>
    <w:basedOn w:val="SBSnormln"/>
    <w:rsid w:val="006B6B51"/>
    <w:pPr>
      <w:numPr>
        <w:numId w:val="1"/>
      </w:numPr>
      <w:jc w:val="left"/>
    </w:pPr>
  </w:style>
  <w:style w:type="paragraph" w:customStyle="1" w:styleId="Nzevsmlouvy">
    <w:name w:val="Název smlouvy"/>
    <w:basedOn w:val="Normln"/>
    <w:rsid w:val="006B6B5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6B6B51"/>
    <w:pPr>
      <w:ind w:left="708"/>
    </w:pPr>
    <w:rPr>
      <w:lang w:val="en-US" w:eastAsia="en-US"/>
    </w:rPr>
  </w:style>
  <w:style w:type="table" w:styleId="Mkatabulky">
    <w:name w:val="Table Grid"/>
    <w:basedOn w:val="Normlntabulka"/>
    <w:uiPriority w:val="39"/>
    <w:rsid w:val="006B6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A02F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2FB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33E57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2026-01-13T15:20:00Z</dcterms:created>
  <dcterms:modified xsi:type="dcterms:W3CDTF">2026-02-18T10:05:00Z</dcterms:modified>
</cp:coreProperties>
</file>