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1142365" distL="114300" distR="400050" simplePos="0" relativeHeight="125829378" behindDoc="0" locked="0" layoutInCell="1" allowOverlap="1">
            <wp:simplePos x="0" y="0"/>
            <wp:positionH relativeFrom="page">
              <wp:posOffset>497840</wp:posOffset>
            </wp:positionH>
            <wp:positionV relativeFrom="paragraph">
              <wp:posOffset>12700</wp:posOffset>
            </wp:positionV>
            <wp:extent cx="1649730" cy="133350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649730" cy="133350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1373505</wp:posOffset>
                </wp:positionV>
                <wp:extent cx="1731645" cy="43751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31645" cy="4375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Váš dopis zn.: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2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Naše zn.:</w:t>
                              <w:tab/>
                              <w:t>POH/13532/2026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5.25pt;margin-top:108.15000000000001pt;width:136.34999999999999pt;height:34.450000000000003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Váš dopis zn.: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2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Naše zn.:</w:t>
                        <w:tab/>
                        <w:t>POH/13532/2026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905000" distB="0" distL="318135" distR="113665" simplePos="0" relativeHeight="125829379" behindDoc="0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1917700</wp:posOffset>
                </wp:positionV>
                <wp:extent cx="1731645" cy="570865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31645" cy="570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2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Vyřizuje:</w:t>
                              <w:tab/>
                              <w:t>…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2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Tel.:</w:t>
                              <w:tab/>
                              <w:t>…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2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Mobil:</w:t>
                              <w:tab/>
                              <w:t>…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2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E-mail:</w:t>
                              <w:tab/>
                              <w:t>…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5.25pt;margin-top:151.pt;width:136.34999999999999pt;height:44.950000000000003pt;z-index:-125829374;mso-wrap-distance-left:25.050000000000001pt;mso-wrap-distance-top:150.pt;mso-wrap-distance-right:8.950000000000001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2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Vyřizuje:</w:t>
                        <w:tab/>
                        <w:t>…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2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Tel.:</w:t>
                        <w:tab/>
                        <w:t>…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2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Mobil:</w:t>
                        <w:tab/>
                        <w:t>…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2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E-mail:</w:t>
                        <w:tab/>
                        <w:t>…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114300" distR="114300" simplePos="0" relativeHeight="125829381" behindDoc="0" locked="0" layoutInCell="1" allowOverlap="1">
            <wp:simplePos x="0" y="0"/>
            <wp:positionH relativeFrom="page">
              <wp:posOffset>6245860</wp:posOffset>
            </wp:positionH>
            <wp:positionV relativeFrom="paragraph">
              <wp:posOffset>461645</wp:posOffset>
            </wp:positionV>
            <wp:extent cx="953770" cy="771525"/>
            <wp:wrapSquare wrapText="bothSides"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953770" cy="7715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3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Stromy, s.r.o.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3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Sloupská 237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860" w:line="240" w:lineRule="auto"/>
        <w:ind w:left="23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473 01 Nový Bor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27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25.03.2026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 Povodí Ohře, státní podnik, …………………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3494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  <w:tab/>
        <w:t>302999/650/2026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3494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</w:t>
        <w:tab/>
        <w:t>31.03.2026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3494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Předpokládaná cena Kč bez DPH:</w:t>
        <w:tab/>
        <w:t>77 000,00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3494" w:val="left"/>
        </w:tabs>
        <w:bidi w:val="0"/>
        <w:spacing w:before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DlHM inv. č.:</w:t>
        <w:tab/>
        <w:t>18505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Objednáváme u Vás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dle Vaší cenové nabídky ze dne 24.3.2026 (viz příloha)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kácení 7 ks nebezpečných stromů, které tvoří břehový porost vodního toku Rousínovský potok v intravilánu obce Rousínov u č. p. 2 a č. p. 67 (p. p. č. 1903/1 v k. ú. Svor).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Předmětné stromy svým stavem ohrožují přilehlé pozemky a majetek. Předmětné stromy byly označeny a následně Vám ukázány fyzicky v terénu.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rizikové práce s předpokladem využití horolezecké techniky a lanové techniky: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38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kácení 4 ks olše o průměru kmene 46, 50, 58 a 62 cm,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kácení 3 ks jasanů o průměru kmene 38, 44 a 82 cm.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Dřevní hmotu o celkovém objemu 14,0 plm odkoupí zhotovitel za částku 9 100 Kč bez DPH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(1 plm/650 Kč bez DPH). Cena za práce bude uhrazena po vzájemném zápočtu vystavených faktur (zhotovitelem za provedené práce a objednatelem za výkup dřevní hmoty).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Nevyužitelná dřevní hmota bude likvidována dle platné legislativy. Po skončení prací bude místo uvedeno do náležitého stavu.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Potřebné vstupy na soukromé pozemky pro provedení předmětných prací si zajišťuje zhotovitel. Veškeré škody na cizím majetku jdou k tíži zhotovitele.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prací seznámil zhotovitele s možnými riziky při provádění zadaných prací.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Technický dozor provede a potřebnou součinnost Vám poskytne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……………..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Vás o potvrzení objednávky. Lhůta splatnosti daňového dokladu (faktury) je 30 dní ode dne doručení objednateli.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faktuře uveďte číslo objednávky a tyto údaje o objednateli: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349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Bezručova 4219</w:t>
        <w:tab/>
        <w:t>IČO: 70889988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3494" w:val="left"/>
        </w:tabs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  <w:tab/>
        <w:t>DIČ: CZ70889988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Fakturu doručte elektronicky ve formátu PDF na e-mail: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…………..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………………….</w:t>
      </w:r>
    </w:p>
    <w:sectPr>
      <w:footnotePr>
        <w:pos w:val="pageBottom"/>
        <w:numFmt w:val="decimal"/>
        <w:numRestart w:val="continuous"/>
      </w:footnotePr>
      <w:pgSz w:w="11909" w:h="16840"/>
      <w:pgMar w:top="335" w:left="1105" w:right="814" w:bottom="335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10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