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0A1DCC97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763084">
        <w:rPr>
          <w:rFonts w:ascii="Arial" w:hAnsi="Arial" w:cs="Arial"/>
          <w:sz w:val="20"/>
          <w:szCs w:val="20"/>
        </w:rPr>
        <w:t>xxx</w:t>
      </w:r>
      <w:proofErr w:type="spellEnd"/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CA532E1" w14:textId="77777777" w:rsidR="001F47C1" w:rsidRPr="003E460E" w:rsidRDefault="001F47C1" w:rsidP="001F47C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>
        <w:rPr>
          <w:rFonts w:ascii="Arial" w:hAnsi="Arial" w:cs="Arial"/>
          <w:sz w:val="20"/>
          <w:szCs w:val="20"/>
        </w:rPr>
        <w:t xml:space="preserve">Zdeňkem </w:t>
      </w:r>
      <w:proofErr w:type="spellStart"/>
      <w:r>
        <w:rPr>
          <w:rFonts w:ascii="Arial" w:hAnsi="Arial" w:cs="Arial"/>
          <w:sz w:val="20"/>
          <w:szCs w:val="20"/>
        </w:rPr>
        <w:t>Dundrem</w:t>
      </w:r>
      <w:proofErr w:type="spellEnd"/>
      <w:r w:rsidRPr="002C470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místop</w:t>
      </w:r>
      <w:r w:rsidRPr="002C4709">
        <w:rPr>
          <w:rFonts w:ascii="Arial" w:hAnsi="Arial" w:cs="Arial"/>
          <w:sz w:val="20"/>
          <w:szCs w:val="20"/>
        </w:rPr>
        <w:t>ředsedou představenstva</w:t>
      </w:r>
      <w:r>
        <w:rPr>
          <w:rFonts w:ascii="Arial" w:hAnsi="Arial" w:cs="Arial"/>
          <w:sz w:val="20"/>
          <w:szCs w:val="20"/>
        </w:rPr>
        <w:t xml:space="preserve"> a Ing. Miloslavem Poustkou, členem 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3A01D5" w14:textId="1FFBA34E" w:rsidR="00B71F70" w:rsidRPr="00813EF3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HOSPIC TEMPUS, </w:t>
      </w:r>
      <w:proofErr w:type="spellStart"/>
      <w:r>
        <w:rPr>
          <w:rFonts w:ascii="Arial" w:hAnsi="Arial" w:cs="Arial"/>
          <w:b/>
          <w:sz w:val="20"/>
          <w:szCs w:val="20"/>
        </w:rPr>
        <w:t>z.s</w:t>
      </w:r>
      <w:proofErr w:type="spellEnd"/>
      <w:r>
        <w:rPr>
          <w:rFonts w:ascii="Arial" w:hAnsi="Arial" w:cs="Arial"/>
          <w:b/>
          <w:sz w:val="20"/>
          <w:szCs w:val="20"/>
        </w:rPr>
        <w:t>.</w:t>
      </w:r>
    </w:p>
    <w:p w14:paraId="7965096A" w14:textId="3EC51A8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</w:t>
      </w:r>
      <w:r>
        <w:rPr>
          <w:rFonts w:ascii="Arial" w:hAnsi="Arial" w:cs="Arial"/>
          <w:sz w:val="20"/>
          <w:szCs w:val="20"/>
        </w:rPr>
        <w:t xml:space="preserve"> </w:t>
      </w:r>
      <w:r w:rsidR="00352AE0">
        <w:rPr>
          <w:rFonts w:ascii="Arial" w:hAnsi="Arial" w:cs="Arial"/>
          <w:sz w:val="20"/>
          <w:szCs w:val="20"/>
        </w:rPr>
        <w:t>Bezručova 108</w:t>
      </w:r>
      <w:r w:rsidR="0076570D" w:rsidRPr="0076570D">
        <w:rPr>
          <w:rFonts w:ascii="Arial" w:hAnsi="Arial" w:cs="Arial"/>
          <w:sz w:val="20"/>
          <w:szCs w:val="20"/>
        </w:rPr>
        <w:t>, 276 01 Mělník</w:t>
      </w:r>
    </w:p>
    <w:p w14:paraId="34271AD3" w14:textId="5711D7A7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05894271</w:t>
      </w:r>
    </w:p>
    <w:p w14:paraId="5B3CD91B" w14:textId="628B186D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CZ05894271</w:t>
      </w:r>
    </w:p>
    <w:p w14:paraId="4861D373" w14:textId="0D3509FB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banka, a.s.</w:t>
      </w:r>
    </w:p>
    <w:p w14:paraId="6BF9B92B" w14:textId="28059473" w:rsidR="00B71F70" w:rsidRPr="003E4A0E" w:rsidRDefault="00B71F70" w:rsidP="00B71F7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proofErr w:type="spellStart"/>
      <w:r w:rsidR="00763084">
        <w:rPr>
          <w:rFonts w:ascii="Arial" w:hAnsi="Arial" w:cs="Arial"/>
          <w:sz w:val="20"/>
          <w:szCs w:val="20"/>
        </w:rPr>
        <w:t>xxx</w:t>
      </w:r>
      <w:proofErr w:type="spellEnd"/>
    </w:p>
    <w:p w14:paraId="66419104" w14:textId="2A5BD4B3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 ve spolkovém rejstříku, vedeném Městským soudem v </w:t>
      </w:r>
      <w:r w:rsidRPr="000C2EF2">
        <w:rPr>
          <w:rFonts w:ascii="Arial" w:hAnsi="Arial" w:cs="Arial"/>
          <w:sz w:val="20"/>
          <w:szCs w:val="20"/>
        </w:rPr>
        <w:t>Praze</w:t>
      </w:r>
      <w:r>
        <w:rPr>
          <w:rFonts w:ascii="Arial" w:hAnsi="Arial" w:cs="Arial"/>
          <w:sz w:val="20"/>
          <w:szCs w:val="20"/>
        </w:rPr>
        <w:t>, oddíl L, vložka 68010</w:t>
      </w:r>
    </w:p>
    <w:p w14:paraId="7C6543F4" w14:textId="49111ACA" w:rsidR="00B71F70" w:rsidRDefault="00B71F70" w:rsidP="00B71F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Mgr. Ditou </w:t>
      </w:r>
      <w:proofErr w:type="spellStart"/>
      <w:r>
        <w:rPr>
          <w:rFonts w:ascii="Arial" w:hAnsi="Arial" w:cs="Arial"/>
          <w:sz w:val="20"/>
          <w:szCs w:val="20"/>
        </w:rPr>
        <w:t>Brezovákovou</w:t>
      </w:r>
      <w:proofErr w:type="spellEnd"/>
      <w:r>
        <w:rPr>
          <w:rFonts w:ascii="Arial" w:hAnsi="Arial" w:cs="Arial"/>
          <w:sz w:val="20"/>
          <w:szCs w:val="20"/>
        </w:rPr>
        <w:t>, předsedkyní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2A32B27F" w:rsidR="00A603AD" w:rsidRDefault="002250BB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proofErr w:type="gramStart"/>
      <w:r w:rsidR="00683D4C">
        <w:rPr>
          <w:rFonts w:ascii="Arial" w:hAnsi="Arial" w:cs="Arial"/>
          <w:b/>
          <w:sz w:val="20"/>
          <w:szCs w:val="20"/>
        </w:rPr>
        <w:t>2</w:t>
      </w:r>
      <w:r w:rsidR="002C218B">
        <w:rPr>
          <w:rFonts w:ascii="Arial" w:hAnsi="Arial" w:cs="Arial"/>
          <w:b/>
          <w:sz w:val="20"/>
          <w:szCs w:val="20"/>
        </w:rPr>
        <w:t>5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.</w:t>
      </w:r>
      <w:r w:rsidR="00683D4C">
        <w:rPr>
          <w:rFonts w:ascii="Arial" w:hAnsi="Arial" w:cs="Arial"/>
          <w:b/>
          <w:sz w:val="20"/>
          <w:szCs w:val="20"/>
        </w:rPr>
        <w:t>0</w:t>
      </w:r>
      <w:r w:rsidR="00AC4704">
        <w:rPr>
          <w:rFonts w:ascii="Arial" w:hAnsi="Arial" w:cs="Arial"/>
          <w:b/>
          <w:sz w:val="20"/>
          <w:szCs w:val="20"/>
        </w:rPr>
        <w:t>00</w:t>
      </w:r>
      <w:r w:rsidR="00887B24">
        <w:rPr>
          <w:rFonts w:ascii="Arial" w:hAnsi="Arial" w:cs="Arial"/>
          <w:b/>
          <w:sz w:val="20"/>
          <w:szCs w:val="20"/>
        </w:rPr>
        <w:t>,-</w:t>
      </w:r>
      <w:proofErr w:type="gramEnd"/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F7D17">
        <w:rPr>
          <w:rFonts w:ascii="Arial" w:hAnsi="Arial" w:cs="Arial"/>
          <w:sz w:val="20"/>
          <w:szCs w:val="20"/>
        </w:rPr>
        <w:t> </w:t>
      </w:r>
      <w:proofErr w:type="spellStart"/>
      <w:r w:rsidR="00683D4C">
        <w:rPr>
          <w:rFonts w:ascii="Arial" w:hAnsi="Arial" w:cs="Arial"/>
          <w:sz w:val="20"/>
          <w:szCs w:val="20"/>
        </w:rPr>
        <w:t>dvěstě</w:t>
      </w:r>
      <w:r w:rsidR="002C218B">
        <w:rPr>
          <w:rFonts w:ascii="Arial" w:hAnsi="Arial" w:cs="Arial"/>
          <w:sz w:val="20"/>
          <w:szCs w:val="20"/>
        </w:rPr>
        <w:t>padesát</w:t>
      </w:r>
      <w:r w:rsidR="00AC4704">
        <w:rPr>
          <w:rFonts w:ascii="Arial" w:hAnsi="Arial" w:cs="Arial"/>
          <w:sz w:val="20"/>
          <w:szCs w:val="20"/>
        </w:rPr>
        <w:t>tisíc</w:t>
      </w:r>
      <w:r w:rsidR="00297DB2">
        <w:rPr>
          <w:rFonts w:ascii="Arial" w:hAnsi="Arial" w:cs="Arial"/>
          <w:sz w:val="20"/>
          <w:szCs w:val="20"/>
        </w:rPr>
        <w:t>korun</w:t>
      </w:r>
      <w:proofErr w:type="spellEnd"/>
      <w:r w:rsidR="00BE586A">
        <w:rPr>
          <w:rFonts w:ascii="Arial" w:hAnsi="Arial" w:cs="Arial"/>
          <w:sz w:val="20"/>
          <w:szCs w:val="20"/>
        </w:rPr>
        <w:t xml:space="preserve"> </w:t>
      </w:r>
      <w:r w:rsidR="00297DB2">
        <w:rPr>
          <w:rFonts w:ascii="Arial" w:hAnsi="Arial" w:cs="Arial"/>
          <w:sz w:val="20"/>
          <w:szCs w:val="20"/>
        </w:rPr>
        <w:t xml:space="preserve">českých)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BF7D17">
      <w:pPr>
        <w:pStyle w:val="Odstavecseseznamem"/>
        <w:numPr>
          <w:ilvl w:val="0"/>
          <w:numId w:val="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77777777" w:rsidR="00247480" w:rsidRPr="002C4709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5EF9FDAB" w14:textId="44F5D478" w:rsidR="00574512" w:rsidRPr="008002A1" w:rsidRDefault="004F4255" w:rsidP="00AC680A">
      <w:pPr>
        <w:pStyle w:val="Odstavecseseznamem"/>
        <w:numPr>
          <w:ilvl w:val="0"/>
          <w:numId w:val="23"/>
        </w:numPr>
        <w:spacing w:before="120" w:after="120" w:line="240" w:lineRule="auto"/>
        <w:ind w:left="107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BF7D17">
        <w:rPr>
          <w:rFonts w:ascii="Arial" w:hAnsi="Arial" w:cs="Arial"/>
          <w:b/>
          <w:sz w:val="20"/>
          <w:szCs w:val="20"/>
        </w:rPr>
        <w:t xml:space="preserve">mzdové </w:t>
      </w:r>
      <w:r w:rsidR="00883EC2" w:rsidRPr="00BF7D17">
        <w:rPr>
          <w:rFonts w:ascii="Arial" w:hAnsi="Arial" w:cs="Arial"/>
          <w:b/>
          <w:sz w:val="20"/>
          <w:szCs w:val="20"/>
        </w:rPr>
        <w:t xml:space="preserve">náklady </w:t>
      </w:r>
      <w:r w:rsidR="002C218B">
        <w:rPr>
          <w:rFonts w:ascii="Arial" w:hAnsi="Arial" w:cs="Arial"/>
          <w:b/>
          <w:sz w:val="20"/>
          <w:szCs w:val="20"/>
        </w:rPr>
        <w:t>zdravotního personálu</w:t>
      </w:r>
      <w:r w:rsidR="00683D4C" w:rsidRPr="00BF7D17">
        <w:rPr>
          <w:rFonts w:ascii="Arial" w:hAnsi="Arial" w:cs="Arial"/>
          <w:b/>
          <w:sz w:val="20"/>
          <w:szCs w:val="20"/>
        </w:rPr>
        <w:t xml:space="preserve"> </w:t>
      </w:r>
      <w:r w:rsidR="00285CFB" w:rsidRPr="00BF7D17">
        <w:rPr>
          <w:rFonts w:ascii="Arial" w:hAnsi="Arial" w:cs="Arial"/>
          <w:b/>
          <w:sz w:val="20"/>
          <w:szCs w:val="20"/>
        </w:rPr>
        <w:t>Obdarovaného</w:t>
      </w:r>
      <w:r w:rsidR="00285CFB">
        <w:rPr>
          <w:rFonts w:ascii="Arial" w:hAnsi="Arial" w:cs="Arial"/>
          <w:b/>
          <w:sz w:val="20"/>
          <w:szCs w:val="20"/>
        </w:rPr>
        <w:t xml:space="preserve"> v přímé péči</w:t>
      </w:r>
      <w:r w:rsidR="00574512" w:rsidRPr="008002A1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AC680A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13158A56" w14:textId="77777777" w:rsidR="001955A5" w:rsidRDefault="001955A5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3C68BB1E" w14:textId="32764085" w:rsidR="00AE3CD9" w:rsidRDefault="00AE3CD9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7D95EB14" w14:textId="77777777" w:rsidR="002D7CB3" w:rsidRDefault="002D7CB3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18DF3861" w14:textId="77777777" w:rsidR="00526E8B" w:rsidRDefault="00526E8B" w:rsidP="001955A5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 xml:space="preserve">, kdy tato smlouva </w:t>
      </w:r>
      <w:proofErr w:type="gramStart"/>
      <w:r w:rsidR="00A603AD">
        <w:rPr>
          <w:rFonts w:ascii="Arial" w:hAnsi="Arial" w:cs="Arial"/>
          <w:sz w:val="20"/>
          <w:szCs w:val="20"/>
        </w:rPr>
        <w:t>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33A71213" w:rsidR="00D56632" w:rsidRDefault="00D5663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1F47C1">
        <w:rPr>
          <w:rFonts w:ascii="Arial" w:hAnsi="Arial" w:cs="Arial"/>
          <w:sz w:val="20"/>
          <w:szCs w:val="20"/>
        </w:rPr>
        <w:t>6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20A30668" w:rsidR="00D612DA" w:rsidRDefault="00D612DA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2939875E" w14:textId="0300AB6E" w:rsidR="00163782" w:rsidRPr="00163782" w:rsidRDefault="00163782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Kontaktní adresa </w:t>
      </w:r>
      <w:r w:rsidR="00141F63">
        <w:rPr>
          <w:rFonts w:ascii="Arial" w:hAnsi="Arial" w:cs="Arial"/>
          <w:sz w:val="20"/>
          <w:szCs w:val="20"/>
        </w:rPr>
        <w:t xml:space="preserve">Dárce </w:t>
      </w:r>
      <w:r>
        <w:rPr>
          <w:rFonts w:ascii="Arial" w:hAnsi="Arial" w:cs="Arial"/>
          <w:sz w:val="20"/>
          <w:szCs w:val="20"/>
        </w:rPr>
        <w:t xml:space="preserve">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63084">
        <w:t>xxx</w:t>
      </w:r>
      <w:proofErr w:type="spellEnd"/>
    </w:p>
    <w:p w14:paraId="5356E9AC" w14:textId="77777777" w:rsidR="00241284" w:rsidRDefault="0095625B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AC680A">
      <w:pPr>
        <w:pStyle w:val="Odstavecseseznamem"/>
        <w:numPr>
          <w:ilvl w:val="0"/>
          <w:numId w:val="13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680A">
      <w:pPr>
        <w:pStyle w:val="Odstavecseseznamem"/>
        <w:numPr>
          <w:ilvl w:val="0"/>
          <w:numId w:val="16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61B4C77A" w:rsidR="0053207F" w:rsidRPr="0053207F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 xml:space="preserve">Etický kodex je dostupný na webových stránkách </w:t>
      </w:r>
      <w:proofErr w:type="spellStart"/>
      <w:r w:rsidR="00763084">
        <w:t>xxx</w:t>
      </w:r>
      <w:proofErr w:type="spellEnd"/>
    </w:p>
    <w:p w14:paraId="2ED56252" w14:textId="628334CB" w:rsidR="001D72E0" w:rsidRP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 xml:space="preserve">, že je subjektem podléhajícím režimu zákona č. </w:t>
      </w:r>
      <w:r w:rsidR="00A12ED2">
        <w:rPr>
          <w:rFonts w:ascii="Arial" w:hAnsi="Arial" w:cs="Arial"/>
          <w:sz w:val="20"/>
          <w:szCs w:val="20"/>
        </w:rPr>
        <w:t>264</w:t>
      </w:r>
      <w:r w:rsidRPr="001D72E0">
        <w:rPr>
          <w:rFonts w:ascii="Arial" w:hAnsi="Arial" w:cs="Arial"/>
          <w:sz w:val="20"/>
          <w:szCs w:val="20"/>
        </w:rPr>
        <w:t>/20</w:t>
      </w:r>
      <w:r w:rsidR="00A12ED2">
        <w:rPr>
          <w:rFonts w:ascii="Arial" w:hAnsi="Arial" w:cs="Arial"/>
          <w:sz w:val="20"/>
          <w:szCs w:val="20"/>
        </w:rPr>
        <w:t>25</w:t>
      </w:r>
      <w:r w:rsidRPr="001D72E0">
        <w:rPr>
          <w:rFonts w:ascii="Arial" w:hAnsi="Arial" w:cs="Arial"/>
          <w:sz w:val="20"/>
          <w:szCs w:val="20"/>
        </w:rPr>
        <w:t xml:space="preserve"> Sb., </w:t>
      </w:r>
      <w:r w:rsidR="00A12ED2">
        <w:rPr>
          <w:rFonts w:ascii="Arial" w:hAnsi="Arial" w:cs="Arial"/>
          <w:sz w:val="20"/>
          <w:szCs w:val="20"/>
        </w:rPr>
        <w:t xml:space="preserve">zákon </w:t>
      </w:r>
      <w:r w:rsidRPr="001D72E0">
        <w:rPr>
          <w:rFonts w:ascii="Arial" w:hAnsi="Arial" w:cs="Arial"/>
          <w:sz w:val="20"/>
          <w:szCs w:val="20"/>
        </w:rPr>
        <w:t>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77777777" w:rsidR="001D72E0" w:rsidRDefault="001D72E0" w:rsidP="00AC680A">
      <w:pPr>
        <w:pStyle w:val="Odstavecseseznamem"/>
        <w:numPr>
          <w:ilvl w:val="0"/>
          <w:numId w:val="18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180121D5" w14:textId="77777777" w:rsidR="00AA7755" w:rsidRDefault="00AA7755" w:rsidP="00AA7755">
      <w:pPr>
        <w:pStyle w:val="Textdokumentu"/>
        <w:spacing w:after="0" w:line="276" w:lineRule="auto"/>
        <w:ind w:left="360"/>
        <w:jc w:val="center"/>
        <w:rPr>
          <w:rFonts w:eastAsiaTheme="minorHAnsi" w:cs="Arial"/>
          <w:b/>
          <w:sz w:val="20"/>
          <w:szCs w:val="20"/>
          <w:lang w:eastAsia="en-US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lastRenderedPageBreak/>
        <w:t>VI.</w:t>
      </w:r>
    </w:p>
    <w:p w14:paraId="67B50B1E" w14:textId="77777777" w:rsidR="00AA7755" w:rsidRPr="00342B00" w:rsidRDefault="00AA7755" w:rsidP="00AC680A">
      <w:pPr>
        <w:pStyle w:val="Textdokumentu"/>
        <w:spacing w:before="120" w:line="240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7B686A61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2D7CB3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AC680A">
      <w:pPr>
        <w:pStyle w:val="Odstavecseseznamem"/>
        <w:numPr>
          <w:ilvl w:val="0"/>
          <w:numId w:val="20"/>
        </w:numPr>
        <w:tabs>
          <w:tab w:val="left" w:pos="360"/>
        </w:tabs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2CF7090E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DC331C">
              <w:rPr>
                <w:rFonts w:ascii="Arial" w:hAnsi="Arial" w:cs="Arial"/>
                <w:sz w:val="20"/>
                <w:szCs w:val="20"/>
              </w:rPr>
              <w:t> </w:t>
            </w:r>
            <w:r w:rsidR="000418C2">
              <w:rPr>
                <w:rFonts w:ascii="Arial" w:hAnsi="Arial" w:cs="Arial"/>
                <w:sz w:val="20"/>
                <w:szCs w:val="20"/>
              </w:rPr>
              <w:t>Mělníku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25352BC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583585B0" w14:textId="35027AFA" w:rsidR="009F0EC0" w:rsidRPr="00E02F90" w:rsidRDefault="00E02F90" w:rsidP="009F0EC0">
            <w:pPr>
              <w:rPr>
                <w:color w:val="EE0000"/>
              </w:rPr>
            </w:pPr>
            <w:r>
              <w:rPr>
                <w:color w:val="EE0000"/>
              </w:rPr>
              <w:t xml:space="preserve">                     </w:t>
            </w:r>
            <w:r w:rsidRPr="00E02F90">
              <w:rPr>
                <w:color w:val="FFFFFF" w:themeColor="background1"/>
              </w:rPr>
              <w:t xml:space="preserve">      </w:t>
            </w:r>
            <w:r w:rsidR="009F0EC0" w:rsidRPr="00E02F90">
              <w:rPr>
                <w:color w:val="FFFFFF" w:themeColor="background1"/>
              </w:rPr>
              <w:t>#XYZ$.OP1</w:t>
            </w:r>
          </w:p>
          <w:p w14:paraId="790E4FA1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38AB4EB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26A06407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025673F9" w14:textId="38B5469E" w:rsidR="00331007" w:rsidRDefault="00331007" w:rsidP="003310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F47C1">
              <w:rPr>
                <w:rFonts w:ascii="Arial" w:hAnsi="Arial" w:cs="Arial"/>
                <w:sz w:val="20"/>
                <w:szCs w:val="20"/>
              </w:rPr>
              <w:t xml:space="preserve">Zdeněk Dundr, </w:t>
            </w:r>
            <w:proofErr w:type="spellStart"/>
            <w:r w:rsidR="00763084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85D4E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36F7613B" w14:textId="30EF5046" w:rsidR="009F0EC0" w:rsidRPr="00E02F90" w:rsidRDefault="00E02F90" w:rsidP="009F0EC0">
            <w:pPr>
              <w:rPr>
                <w:color w:val="FFFFFF" w:themeColor="background1"/>
              </w:rPr>
            </w:pPr>
            <w:r>
              <w:rPr>
                <w:color w:val="EE0000"/>
              </w:rPr>
              <w:t xml:space="preserve">                       </w:t>
            </w:r>
            <w:r w:rsidRPr="00E02F90">
              <w:rPr>
                <w:color w:val="FFFFFF" w:themeColor="background1"/>
              </w:rPr>
              <w:t xml:space="preserve">     </w:t>
            </w:r>
            <w:r w:rsidR="009F0EC0" w:rsidRPr="00E02F90">
              <w:rPr>
                <w:color w:val="FFFFFF" w:themeColor="background1"/>
              </w:rPr>
              <w:t>#XYZ$.OP2</w:t>
            </w:r>
          </w:p>
          <w:p w14:paraId="1583FD7D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3B695957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1FEAF058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62221CF1" w14:textId="77777777" w:rsidR="001E475C" w:rsidRPr="00E02F90" w:rsidRDefault="001E475C" w:rsidP="00864A31">
            <w:pPr>
              <w:rPr>
                <w:rFonts w:ascii="Arial" w:hAnsi="Arial" w:cs="Arial"/>
                <w:color w:val="EE0000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407FD662" w:rsidR="003E4A0E" w:rsidRDefault="00706B9A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1F47C1">
              <w:rPr>
                <w:rFonts w:ascii="Arial" w:hAnsi="Arial" w:cs="Arial"/>
                <w:sz w:val="20"/>
                <w:szCs w:val="20"/>
              </w:rPr>
              <w:t xml:space="preserve">Miloslav Poustka, </w:t>
            </w:r>
            <w:proofErr w:type="spellStart"/>
            <w:r w:rsidR="00763084">
              <w:rPr>
                <w:rFonts w:ascii="Arial" w:hAnsi="Arial" w:cs="Arial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AB9E0" w14:textId="77777777" w:rsidR="001E475C" w:rsidRDefault="001E475C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93FDFE" w14:textId="77777777" w:rsidR="001E475C" w:rsidRDefault="001E475C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C5A28A" w14:textId="77777777" w:rsidR="001E475C" w:rsidRDefault="001E475C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A407FF" w14:textId="77777777" w:rsidR="001E475C" w:rsidRDefault="001E475C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49EAD64" w14:textId="77777777" w:rsidR="001E475C" w:rsidRDefault="001E475C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0B9F330D" w14:textId="076F6B8E" w:rsidR="008E4434" w:rsidRDefault="007170DA" w:rsidP="00864A31">
            <w:pPr>
              <w:rPr>
                <w:rFonts w:ascii="Arial" w:hAnsi="Arial" w:cs="Arial"/>
                <w:sz w:val="20"/>
                <w:szCs w:val="20"/>
              </w:rPr>
            </w:pPr>
            <w:r w:rsidRPr="007170DA">
              <w:rPr>
                <w:rFonts w:ascii="Arial" w:hAnsi="Arial" w:cs="Arial"/>
                <w:sz w:val="20"/>
                <w:szCs w:val="20"/>
              </w:rPr>
              <w:t>Mgr. Dit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7170DA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170DA">
              <w:rPr>
                <w:rFonts w:ascii="Arial" w:hAnsi="Arial" w:cs="Arial"/>
                <w:sz w:val="20"/>
                <w:szCs w:val="20"/>
              </w:rPr>
              <w:t>Brezovákov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proofErr w:type="spellEnd"/>
            <w:r w:rsidRPr="007170DA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763084">
              <w:rPr>
                <w:rFonts w:ascii="Arial" w:hAnsi="Arial" w:cs="Arial"/>
                <w:sz w:val="20"/>
                <w:szCs w:val="20"/>
              </w:rPr>
              <w:t>xxx</w:t>
            </w: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BF7D17">
      <w:headerReference w:type="default" r:id="rId8"/>
      <w:footerReference w:type="default" r:id="rId9"/>
      <w:pgSz w:w="11906" w:h="16838"/>
      <w:pgMar w:top="1134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F3828" w14:textId="77777777" w:rsidR="00CC6310" w:rsidRDefault="00CC6310" w:rsidP="00903FEF">
      <w:pPr>
        <w:spacing w:after="0" w:line="240" w:lineRule="auto"/>
      </w:pPr>
      <w:r>
        <w:separator/>
      </w:r>
    </w:p>
  </w:endnote>
  <w:endnote w:type="continuationSeparator" w:id="0">
    <w:p w14:paraId="5D7EA571" w14:textId="77777777" w:rsidR="00CC6310" w:rsidRDefault="00CC6310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9536337"/>
      <w:docPartObj>
        <w:docPartGallery w:val="Page Numbers (Bottom of Page)"/>
        <w:docPartUnique/>
      </w:docPartObj>
    </w:sdtPr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A555B" w14:textId="77777777" w:rsidR="00CC6310" w:rsidRDefault="00CC6310" w:rsidP="00903FEF">
      <w:pPr>
        <w:spacing w:after="0" w:line="240" w:lineRule="auto"/>
      </w:pPr>
      <w:r>
        <w:separator/>
      </w:r>
    </w:p>
  </w:footnote>
  <w:footnote w:type="continuationSeparator" w:id="0">
    <w:p w14:paraId="57528222" w14:textId="77777777" w:rsidR="00CC6310" w:rsidRDefault="00CC6310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A74D0" w14:textId="110A6E48" w:rsidR="002B3F71" w:rsidRPr="009B55CF" w:rsidRDefault="009F0EC0" w:rsidP="009B55CF">
    <w:pPr>
      <w:pStyle w:val="Zhlav"/>
      <w:jc w:val="right"/>
    </w:pPr>
    <w:r>
      <w:rPr>
        <w:b/>
        <w:sz w:val="24"/>
        <w:szCs w:val="24"/>
      </w:rPr>
      <w:t>01910</w:t>
    </w:r>
    <w:r w:rsidR="009B55CF" w:rsidRPr="009B55CF">
      <w:rPr>
        <w:b/>
        <w:sz w:val="24"/>
        <w:szCs w:val="24"/>
      </w:rPr>
      <w:t>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838826">
    <w:abstractNumId w:val="21"/>
  </w:num>
  <w:num w:numId="2" w16cid:durableId="1552691493">
    <w:abstractNumId w:val="19"/>
  </w:num>
  <w:num w:numId="3" w16cid:durableId="2006929357">
    <w:abstractNumId w:val="3"/>
  </w:num>
  <w:num w:numId="4" w16cid:durableId="210269270">
    <w:abstractNumId w:val="8"/>
  </w:num>
  <w:num w:numId="5" w16cid:durableId="707723424">
    <w:abstractNumId w:val="13"/>
  </w:num>
  <w:num w:numId="6" w16cid:durableId="1080106347">
    <w:abstractNumId w:val="20"/>
  </w:num>
  <w:num w:numId="7" w16cid:durableId="1661538493">
    <w:abstractNumId w:val="10"/>
  </w:num>
  <w:num w:numId="8" w16cid:durableId="892931869">
    <w:abstractNumId w:val="0"/>
  </w:num>
  <w:num w:numId="9" w16cid:durableId="1125081408">
    <w:abstractNumId w:val="2"/>
  </w:num>
  <w:num w:numId="10" w16cid:durableId="1645085697">
    <w:abstractNumId w:val="14"/>
  </w:num>
  <w:num w:numId="11" w16cid:durableId="199585746">
    <w:abstractNumId w:val="17"/>
  </w:num>
  <w:num w:numId="12" w16cid:durableId="658314662">
    <w:abstractNumId w:val="5"/>
  </w:num>
  <w:num w:numId="13" w16cid:durableId="1370835437">
    <w:abstractNumId w:val="7"/>
  </w:num>
  <w:num w:numId="14" w16cid:durableId="738670957">
    <w:abstractNumId w:val="4"/>
  </w:num>
  <w:num w:numId="15" w16cid:durableId="208302073">
    <w:abstractNumId w:val="18"/>
  </w:num>
  <w:num w:numId="16" w16cid:durableId="1793594470">
    <w:abstractNumId w:val="9"/>
  </w:num>
  <w:num w:numId="17" w16cid:durableId="1917860015">
    <w:abstractNumId w:val="15"/>
  </w:num>
  <w:num w:numId="18" w16cid:durableId="631056359">
    <w:abstractNumId w:val="11"/>
  </w:num>
  <w:num w:numId="19" w16cid:durableId="348415531">
    <w:abstractNumId w:val="12"/>
  </w:num>
  <w:num w:numId="20" w16cid:durableId="2121022763">
    <w:abstractNumId w:val="6"/>
  </w:num>
  <w:num w:numId="21" w16cid:durableId="47731107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56273819">
    <w:abstractNumId w:val="16"/>
  </w:num>
  <w:num w:numId="23" w16cid:durableId="170219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27BBA"/>
    <w:rsid w:val="000418C2"/>
    <w:rsid w:val="0006771C"/>
    <w:rsid w:val="000870C4"/>
    <w:rsid w:val="000D3E3B"/>
    <w:rsid w:val="00140985"/>
    <w:rsid w:val="00141F63"/>
    <w:rsid w:val="00163782"/>
    <w:rsid w:val="00167895"/>
    <w:rsid w:val="001955A5"/>
    <w:rsid w:val="001968E8"/>
    <w:rsid w:val="001C02B7"/>
    <w:rsid w:val="001D56E7"/>
    <w:rsid w:val="001D72E0"/>
    <w:rsid w:val="001E475C"/>
    <w:rsid w:val="001F47C1"/>
    <w:rsid w:val="001F481B"/>
    <w:rsid w:val="002100EA"/>
    <w:rsid w:val="002250BB"/>
    <w:rsid w:val="00241284"/>
    <w:rsid w:val="00247480"/>
    <w:rsid w:val="00252B5B"/>
    <w:rsid w:val="00273A4F"/>
    <w:rsid w:val="00285CFB"/>
    <w:rsid w:val="00297DB2"/>
    <w:rsid w:val="002A2DA4"/>
    <w:rsid w:val="002B3F71"/>
    <w:rsid w:val="002C218B"/>
    <w:rsid w:val="002C4709"/>
    <w:rsid w:val="002D144D"/>
    <w:rsid w:val="002D7CB3"/>
    <w:rsid w:val="0032646B"/>
    <w:rsid w:val="00326737"/>
    <w:rsid w:val="00331007"/>
    <w:rsid w:val="00347DBE"/>
    <w:rsid w:val="00352AE0"/>
    <w:rsid w:val="00392072"/>
    <w:rsid w:val="003B5C57"/>
    <w:rsid w:val="003E4A0E"/>
    <w:rsid w:val="00411164"/>
    <w:rsid w:val="004148E9"/>
    <w:rsid w:val="00481944"/>
    <w:rsid w:val="004860FA"/>
    <w:rsid w:val="004862D0"/>
    <w:rsid w:val="004939C2"/>
    <w:rsid w:val="004D3F55"/>
    <w:rsid w:val="004F4255"/>
    <w:rsid w:val="00510055"/>
    <w:rsid w:val="00526E8B"/>
    <w:rsid w:val="0053207F"/>
    <w:rsid w:val="00574512"/>
    <w:rsid w:val="00582CF9"/>
    <w:rsid w:val="005D0A6B"/>
    <w:rsid w:val="0061462C"/>
    <w:rsid w:val="00636A06"/>
    <w:rsid w:val="00657B9E"/>
    <w:rsid w:val="00683D4C"/>
    <w:rsid w:val="006D11EB"/>
    <w:rsid w:val="006D30A0"/>
    <w:rsid w:val="006D6329"/>
    <w:rsid w:val="006E69B4"/>
    <w:rsid w:val="00703576"/>
    <w:rsid w:val="00704051"/>
    <w:rsid w:val="00706B9A"/>
    <w:rsid w:val="007170DA"/>
    <w:rsid w:val="007333C3"/>
    <w:rsid w:val="00763084"/>
    <w:rsid w:val="0076570D"/>
    <w:rsid w:val="00791C8F"/>
    <w:rsid w:val="00795710"/>
    <w:rsid w:val="007F3A0F"/>
    <w:rsid w:val="008002A1"/>
    <w:rsid w:val="00812FAD"/>
    <w:rsid w:val="00817757"/>
    <w:rsid w:val="00842D17"/>
    <w:rsid w:val="008447BB"/>
    <w:rsid w:val="008553D8"/>
    <w:rsid w:val="00871EDC"/>
    <w:rsid w:val="00883EC2"/>
    <w:rsid w:val="00887B24"/>
    <w:rsid w:val="008A64F0"/>
    <w:rsid w:val="008B145F"/>
    <w:rsid w:val="008B4579"/>
    <w:rsid w:val="008B4BF1"/>
    <w:rsid w:val="008E4434"/>
    <w:rsid w:val="009030A1"/>
    <w:rsid w:val="00903FEF"/>
    <w:rsid w:val="00953F1A"/>
    <w:rsid w:val="0095625B"/>
    <w:rsid w:val="00995BD4"/>
    <w:rsid w:val="009B30F8"/>
    <w:rsid w:val="009B55CF"/>
    <w:rsid w:val="009F0EC0"/>
    <w:rsid w:val="00A12ED2"/>
    <w:rsid w:val="00A15D9C"/>
    <w:rsid w:val="00A559DD"/>
    <w:rsid w:val="00A603AD"/>
    <w:rsid w:val="00A620A4"/>
    <w:rsid w:val="00A71DD1"/>
    <w:rsid w:val="00A769E1"/>
    <w:rsid w:val="00AA7755"/>
    <w:rsid w:val="00AC0A68"/>
    <w:rsid w:val="00AC1563"/>
    <w:rsid w:val="00AC4704"/>
    <w:rsid w:val="00AC680A"/>
    <w:rsid w:val="00AE3CD9"/>
    <w:rsid w:val="00AE7ACE"/>
    <w:rsid w:val="00B07147"/>
    <w:rsid w:val="00B1015C"/>
    <w:rsid w:val="00B201EF"/>
    <w:rsid w:val="00B345E9"/>
    <w:rsid w:val="00B4114B"/>
    <w:rsid w:val="00B45C3F"/>
    <w:rsid w:val="00B71F70"/>
    <w:rsid w:val="00B7203B"/>
    <w:rsid w:val="00BA4D82"/>
    <w:rsid w:val="00BC48B1"/>
    <w:rsid w:val="00BC6F1B"/>
    <w:rsid w:val="00BD1083"/>
    <w:rsid w:val="00BE586A"/>
    <w:rsid w:val="00BF372B"/>
    <w:rsid w:val="00BF7D17"/>
    <w:rsid w:val="00C110AD"/>
    <w:rsid w:val="00C30D89"/>
    <w:rsid w:val="00C36F31"/>
    <w:rsid w:val="00C51279"/>
    <w:rsid w:val="00C74577"/>
    <w:rsid w:val="00C85910"/>
    <w:rsid w:val="00C954B8"/>
    <w:rsid w:val="00CB5C1B"/>
    <w:rsid w:val="00CC6310"/>
    <w:rsid w:val="00D225BC"/>
    <w:rsid w:val="00D26E96"/>
    <w:rsid w:val="00D422FE"/>
    <w:rsid w:val="00D46104"/>
    <w:rsid w:val="00D56632"/>
    <w:rsid w:val="00D612DA"/>
    <w:rsid w:val="00DA1436"/>
    <w:rsid w:val="00DB2F0E"/>
    <w:rsid w:val="00DC331C"/>
    <w:rsid w:val="00E02F90"/>
    <w:rsid w:val="00E37B6E"/>
    <w:rsid w:val="00ED610A"/>
    <w:rsid w:val="00EE358D"/>
    <w:rsid w:val="00EF3FF8"/>
    <w:rsid w:val="00EF760F"/>
    <w:rsid w:val="00F92002"/>
    <w:rsid w:val="00FB23AF"/>
    <w:rsid w:val="00FB4206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BF7D17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F7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C6A19A-A38D-41F1-B60B-78B72EEEF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1105</Words>
  <Characters>6522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7612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Koukalová Jitka</cp:lastModifiedBy>
  <cp:revision>2</cp:revision>
  <cp:lastPrinted>2019-11-14T09:22:00Z</cp:lastPrinted>
  <dcterms:created xsi:type="dcterms:W3CDTF">2026-05-04T08:14:00Z</dcterms:created>
  <dcterms:modified xsi:type="dcterms:W3CDTF">2026-05-04T08:14:00Z</dcterms:modified>
</cp:coreProperties>
</file>