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2E" w:rsidRDefault="003B372A">
      <w:pPr>
        <w:pStyle w:val="Normln1"/>
        <w:widowControl/>
        <w:jc w:val="center"/>
        <w:outlineLvl w:val="0"/>
        <w:rPr>
          <w:rFonts w:ascii="Century Gothic" w:hAnsi="Century Gothic" w:cs="Calibri"/>
          <w:b/>
          <w:color w:val="4472C4" w:themeColor="accent1"/>
          <w:sz w:val="32"/>
          <w:szCs w:val="28"/>
        </w:rPr>
      </w:pPr>
      <w:r>
        <w:rPr>
          <w:rFonts w:ascii="Century Gothic" w:hAnsi="Century Gothic" w:cs="Calibri"/>
          <w:b/>
          <w:color w:val="4472C4" w:themeColor="accent1"/>
          <w:sz w:val="32"/>
          <w:szCs w:val="28"/>
        </w:rPr>
        <w:t xml:space="preserve">Dodatek </w:t>
      </w:r>
      <w:r w:rsidR="00CE5CC4">
        <w:rPr>
          <w:rFonts w:ascii="Century Gothic" w:hAnsi="Century Gothic" w:cs="Calibri"/>
          <w:b/>
          <w:color w:val="4472C4" w:themeColor="accent1"/>
          <w:sz w:val="32"/>
          <w:szCs w:val="28"/>
        </w:rPr>
        <w:t xml:space="preserve">č. 1 </w:t>
      </w:r>
      <w:r w:rsidR="00732088">
        <w:rPr>
          <w:rFonts w:ascii="Century Gothic" w:hAnsi="Century Gothic" w:cs="Calibri"/>
          <w:b/>
          <w:color w:val="4472C4" w:themeColor="accent1"/>
          <w:sz w:val="32"/>
          <w:szCs w:val="28"/>
        </w:rPr>
        <w:t>ke S</w:t>
      </w:r>
      <w:r>
        <w:rPr>
          <w:rFonts w:ascii="Century Gothic" w:hAnsi="Century Gothic" w:cs="Calibri"/>
          <w:b/>
          <w:color w:val="4472C4" w:themeColor="accent1"/>
          <w:sz w:val="32"/>
          <w:szCs w:val="28"/>
        </w:rPr>
        <w:t>mlouvě o spolupráci</w:t>
      </w:r>
    </w:p>
    <w:p w:rsidR="00C9592E" w:rsidRDefault="003B372A">
      <w:pPr>
        <w:pStyle w:val="Normln1"/>
        <w:widowControl/>
        <w:jc w:val="center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i/>
          <w:sz w:val="18"/>
          <w:szCs w:val="18"/>
        </w:rPr>
        <w:t>dle ustanovení § 1746 odst. 2 občanského zákoníku (zákon č. 89/2012 Sb., v platném znění)</w:t>
      </w:r>
    </w:p>
    <w:p w:rsidR="00C9592E" w:rsidRDefault="00C9592E">
      <w:pPr>
        <w:pStyle w:val="Normln1"/>
        <w:widowControl/>
        <w:jc w:val="center"/>
        <w:rPr>
          <w:rFonts w:ascii="Century Gothic" w:hAnsi="Century Gothic" w:cs="Calibri"/>
          <w:b/>
          <w:sz w:val="22"/>
          <w:szCs w:val="22"/>
        </w:rPr>
      </w:pPr>
    </w:p>
    <w:p w:rsidR="00C9592E" w:rsidRDefault="00C9592E">
      <w:pPr>
        <w:pStyle w:val="Normln1"/>
        <w:widowControl/>
        <w:rPr>
          <w:rFonts w:ascii="Century Gothic" w:hAnsi="Century Gothic" w:cs="Calibri"/>
          <w:b/>
          <w:sz w:val="22"/>
          <w:szCs w:val="22"/>
          <w:u w:val="single"/>
        </w:rPr>
      </w:pPr>
    </w:p>
    <w:p w:rsidR="00C9592E" w:rsidRDefault="003B372A">
      <w:pPr>
        <w:pStyle w:val="Normln1"/>
        <w:widowControl/>
        <w:rPr>
          <w:rFonts w:ascii="Century Gothic" w:hAnsi="Century Gothic" w:cs="Calibri"/>
          <w:b/>
          <w:sz w:val="22"/>
          <w:szCs w:val="22"/>
          <w:u w:val="single"/>
        </w:rPr>
      </w:pPr>
      <w:r>
        <w:rPr>
          <w:rFonts w:ascii="Century Gothic" w:hAnsi="Century Gothic" w:cs="Calibri"/>
          <w:b/>
          <w:sz w:val="22"/>
          <w:szCs w:val="22"/>
          <w:u w:val="single"/>
        </w:rPr>
        <w:t>Smluvní strany</w:t>
      </w:r>
    </w:p>
    <w:p w:rsidR="00C9592E" w:rsidRDefault="00C9592E">
      <w:pPr>
        <w:pStyle w:val="Normln1"/>
        <w:widowControl/>
        <w:rPr>
          <w:rFonts w:ascii="Century Gothic" w:hAnsi="Century Gothic" w:cs="Calibri"/>
          <w:b/>
          <w:sz w:val="22"/>
          <w:szCs w:val="22"/>
          <w:u w:val="single"/>
        </w:rPr>
      </w:pPr>
    </w:p>
    <w:p w:rsidR="00C9592E" w:rsidRDefault="003B372A">
      <w:pPr>
        <w:pStyle w:val="Normln1"/>
        <w:rPr>
          <w:rFonts w:ascii="Century Gothic" w:hAnsi="Century Gothic" w:cs="Calibri"/>
          <w:b/>
          <w:sz w:val="22"/>
          <w:szCs w:val="22"/>
        </w:rPr>
      </w:pPr>
      <w:proofErr w:type="spellStart"/>
      <w:r>
        <w:rPr>
          <w:rFonts w:ascii="Century Gothic" w:hAnsi="Century Gothic" w:cs="Calibri"/>
          <w:b/>
          <w:sz w:val="22"/>
          <w:szCs w:val="22"/>
        </w:rPr>
        <w:t>Economia</w:t>
      </w:r>
      <w:proofErr w:type="spellEnd"/>
      <w:r>
        <w:rPr>
          <w:rFonts w:ascii="Century Gothic" w:hAnsi="Century Gothic" w:cs="Calibri"/>
          <w:b/>
          <w:sz w:val="22"/>
          <w:szCs w:val="22"/>
        </w:rPr>
        <w:t xml:space="preserve"> a.s.</w:t>
      </w:r>
    </w:p>
    <w:p w:rsidR="00C9592E" w:rsidRDefault="003B372A">
      <w:pPr>
        <w:pStyle w:val="Normln1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se sídlem Pernerova 673/47, Karlín, 186 00 Praha 8  </w:t>
      </w:r>
    </w:p>
    <w:p w:rsidR="00C9592E" w:rsidRDefault="003B372A">
      <w:pPr>
        <w:pStyle w:val="Normln1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IČ: 28191226    </w:t>
      </w:r>
    </w:p>
    <w:p w:rsidR="00C9592E" w:rsidRDefault="003B372A">
      <w:pPr>
        <w:pStyle w:val="Normln1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DIČ: CZ 2819126           </w:t>
      </w:r>
    </w:p>
    <w:p w:rsidR="00C9592E" w:rsidRDefault="003B372A">
      <w:pPr>
        <w:pStyle w:val="Normln1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společnost zapsaná v obchodním rejstříku vedeném Městským soudem v Praze, odd. B, vložka 12746</w:t>
      </w: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zastoupena Romanem </w:t>
      </w:r>
      <w:proofErr w:type="spellStart"/>
      <w:r>
        <w:rPr>
          <w:rFonts w:ascii="Century Gothic" w:hAnsi="Century Gothic" w:cs="Calibri"/>
          <w:sz w:val="22"/>
          <w:szCs w:val="22"/>
        </w:rPr>
        <w:t>Latuske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, předsedou představenstva, a Michalem Brejchou, členem představenstva  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(dále jen </w:t>
      </w:r>
      <w:r>
        <w:rPr>
          <w:rFonts w:ascii="Century Gothic" w:hAnsi="Century Gothic" w:cs="Calibri"/>
          <w:b/>
          <w:sz w:val="22"/>
          <w:szCs w:val="22"/>
        </w:rPr>
        <w:t>„Poskytovatel”</w:t>
      </w:r>
      <w:r>
        <w:rPr>
          <w:rFonts w:ascii="Century Gothic" w:hAnsi="Century Gothic" w:cs="Calibri"/>
          <w:sz w:val="22"/>
          <w:szCs w:val="22"/>
        </w:rPr>
        <w:t>)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a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b/>
          <w:sz w:val="22"/>
          <w:szCs w:val="22"/>
        </w:rPr>
      </w:pPr>
    </w:p>
    <w:p w:rsidR="00C9592E" w:rsidRDefault="003B372A">
      <w:pPr>
        <w:pStyle w:val="Normln1"/>
        <w:widowControl/>
        <w:jc w:val="both"/>
        <w:outlineLvl w:val="0"/>
        <w:rPr>
          <w:rFonts w:ascii="Century Gothic" w:hAnsi="Century Gothic" w:cs="Calibri"/>
          <w:b/>
          <w:sz w:val="22"/>
          <w:szCs w:val="22"/>
        </w:rPr>
      </w:pPr>
      <w:r>
        <w:rPr>
          <w:rFonts w:ascii="Century Gothic" w:hAnsi="Century Gothic" w:cs="Calibri"/>
          <w:b/>
          <w:sz w:val="22"/>
          <w:szCs w:val="22"/>
        </w:rPr>
        <w:t>Česká agentura na podporu obchodu/CzechTrade</w:t>
      </w:r>
    </w:p>
    <w:p w:rsidR="00C9592E" w:rsidRDefault="003B372A">
      <w:pPr>
        <w:pStyle w:val="Normln1"/>
        <w:widowControl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 sídlem Praha 2, Dittrichova 21, PSČ 128 01</w:t>
      </w:r>
    </w:p>
    <w:p w:rsidR="00C9592E" w:rsidRDefault="003B372A">
      <w:pPr>
        <w:pStyle w:val="Normln1"/>
        <w:widowControl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IČ: 00001171</w:t>
      </w:r>
    </w:p>
    <w:p w:rsidR="00C9592E" w:rsidRDefault="003B372A">
      <w:pPr>
        <w:pStyle w:val="Normln1"/>
        <w:widowControl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DIČ: CZ00001171</w:t>
      </w:r>
    </w:p>
    <w:p w:rsidR="00C9592E" w:rsidRDefault="003B372A">
      <w:pPr>
        <w:pStyle w:val="Normln1"/>
        <w:widowControl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příspěvková organizace nezapsána v obchodním rejstříku </w:t>
      </w: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zastoupena Ing. Radomilem Doležalem, MBA, generálním ředitelem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(dále jen </w:t>
      </w:r>
      <w:r>
        <w:rPr>
          <w:rFonts w:ascii="Century Gothic" w:hAnsi="Century Gothic" w:cs="Calibri"/>
          <w:b/>
          <w:sz w:val="22"/>
          <w:szCs w:val="22"/>
        </w:rPr>
        <w:t>„Objednatel”</w:t>
      </w:r>
      <w:r>
        <w:rPr>
          <w:rFonts w:ascii="Century Gothic" w:hAnsi="Century Gothic" w:cs="Calibri"/>
          <w:sz w:val="22"/>
          <w:szCs w:val="22"/>
        </w:rPr>
        <w:t>)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(Poskytovatel a Objednatel dále též jako „Smluvní strana“, společně jako „Smluvní strany“)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níže uvedeného dne, měsíce a roku uzavřely: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E5CC4" w:rsidRDefault="00CE5CC4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9B7BB9" w:rsidRDefault="009B7BB9">
      <w:pPr>
        <w:pStyle w:val="Normln1"/>
        <w:widowControl/>
        <w:jc w:val="center"/>
        <w:rPr>
          <w:rFonts w:ascii="Century Gothic" w:hAnsi="Century Gothic" w:cs="Calibri"/>
          <w:spacing w:val="30"/>
          <w:sz w:val="22"/>
          <w:szCs w:val="22"/>
        </w:rPr>
      </w:pPr>
      <w:r>
        <w:rPr>
          <w:rFonts w:ascii="Century Gothic" w:hAnsi="Century Gothic" w:cs="Calibri"/>
          <w:spacing w:val="30"/>
          <w:sz w:val="22"/>
          <w:szCs w:val="22"/>
        </w:rPr>
        <w:t xml:space="preserve">Dodatek č. 1 </w:t>
      </w:r>
    </w:p>
    <w:p w:rsidR="00C9592E" w:rsidRDefault="009B7BB9">
      <w:pPr>
        <w:pStyle w:val="Normln1"/>
        <w:widowControl/>
        <w:jc w:val="center"/>
        <w:rPr>
          <w:rFonts w:ascii="Century Gothic" w:hAnsi="Century Gothic" w:cs="Calibri"/>
          <w:spacing w:val="30"/>
          <w:sz w:val="22"/>
          <w:szCs w:val="22"/>
        </w:rPr>
      </w:pPr>
      <w:r>
        <w:rPr>
          <w:rFonts w:ascii="Century Gothic" w:hAnsi="Century Gothic" w:cs="Calibri"/>
          <w:spacing w:val="30"/>
          <w:sz w:val="22"/>
          <w:szCs w:val="22"/>
        </w:rPr>
        <w:t xml:space="preserve">ke </w:t>
      </w:r>
      <w:r w:rsidR="00732088">
        <w:rPr>
          <w:rFonts w:ascii="Century Gothic" w:hAnsi="Century Gothic" w:cs="Calibri"/>
          <w:spacing w:val="30"/>
          <w:sz w:val="22"/>
          <w:szCs w:val="22"/>
        </w:rPr>
        <w:t>S</w:t>
      </w:r>
      <w:r w:rsidR="003B372A">
        <w:rPr>
          <w:rFonts w:ascii="Century Gothic" w:hAnsi="Century Gothic" w:cs="Calibri"/>
          <w:spacing w:val="30"/>
          <w:sz w:val="22"/>
          <w:szCs w:val="22"/>
        </w:rPr>
        <w:t>mlouv</w:t>
      </w:r>
      <w:r>
        <w:rPr>
          <w:rFonts w:ascii="Century Gothic" w:hAnsi="Century Gothic" w:cs="Calibri"/>
          <w:spacing w:val="30"/>
          <w:sz w:val="22"/>
          <w:szCs w:val="22"/>
        </w:rPr>
        <w:t>ě</w:t>
      </w:r>
      <w:r w:rsidR="003B372A">
        <w:rPr>
          <w:rFonts w:ascii="Century Gothic" w:hAnsi="Century Gothic" w:cs="Calibri"/>
          <w:spacing w:val="30"/>
          <w:sz w:val="22"/>
          <w:szCs w:val="22"/>
        </w:rPr>
        <w:t xml:space="preserve"> o spolupráci</w:t>
      </w:r>
      <w:r>
        <w:rPr>
          <w:rFonts w:ascii="Century Gothic" w:hAnsi="Century Gothic" w:cs="Calibri"/>
          <w:spacing w:val="30"/>
          <w:sz w:val="22"/>
          <w:szCs w:val="22"/>
        </w:rPr>
        <w:t xml:space="preserve"> ze dne </w:t>
      </w:r>
      <w:proofErr w:type="gramStart"/>
      <w:r>
        <w:rPr>
          <w:rFonts w:ascii="Century Gothic" w:hAnsi="Century Gothic" w:cs="Calibri"/>
          <w:spacing w:val="30"/>
          <w:sz w:val="22"/>
          <w:szCs w:val="22"/>
        </w:rPr>
        <w:t>18.12.2017</w:t>
      </w:r>
      <w:proofErr w:type="gramEnd"/>
    </w:p>
    <w:p w:rsidR="00C9592E" w:rsidRDefault="003B372A">
      <w:pPr>
        <w:pStyle w:val="Normln1"/>
        <w:widowControl/>
        <w:jc w:val="center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(dále jen </w:t>
      </w:r>
      <w:r>
        <w:rPr>
          <w:rFonts w:ascii="Century Gothic" w:hAnsi="Century Gothic" w:cs="Calibri"/>
          <w:b/>
          <w:sz w:val="22"/>
          <w:szCs w:val="22"/>
        </w:rPr>
        <w:t>„Smlouva”</w:t>
      </w:r>
      <w:r>
        <w:rPr>
          <w:rFonts w:ascii="Century Gothic" w:hAnsi="Century Gothic" w:cs="Calibri"/>
          <w:sz w:val="22"/>
          <w:szCs w:val="22"/>
        </w:rPr>
        <w:t>)</w:t>
      </w:r>
    </w:p>
    <w:p w:rsidR="009B7BB9" w:rsidRDefault="009B7BB9">
      <w:pPr>
        <w:pStyle w:val="Normln1"/>
        <w:widowControl/>
        <w:jc w:val="center"/>
        <w:rPr>
          <w:rFonts w:ascii="Century Gothic" w:hAnsi="Century Gothic" w:cs="Calibri"/>
          <w:sz w:val="22"/>
          <w:szCs w:val="22"/>
        </w:rPr>
      </w:pPr>
    </w:p>
    <w:p w:rsidR="009B7BB9" w:rsidRDefault="007E1DD1" w:rsidP="00CE5CC4">
      <w:pPr>
        <w:pStyle w:val="Normln1"/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S</w:t>
      </w:r>
      <w:r w:rsidR="009B7BB9" w:rsidRPr="009B7BB9">
        <w:rPr>
          <w:rFonts w:ascii="Century Gothic" w:hAnsi="Century Gothic" w:cs="Calibri"/>
          <w:sz w:val="22"/>
          <w:szCs w:val="22"/>
        </w:rPr>
        <w:t>mluvní strany</w:t>
      </w:r>
      <w:r>
        <w:rPr>
          <w:rFonts w:ascii="Century Gothic" w:hAnsi="Century Gothic" w:cs="Calibri"/>
          <w:sz w:val="22"/>
          <w:szCs w:val="22"/>
        </w:rPr>
        <w:t xml:space="preserve"> se </w:t>
      </w:r>
      <w:r w:rsidR="00D2057D">
        <w:rPr>
          <w:rFonts w:ascii="Century Gothic" w:hAnsi="Century Gothic" w:cs="Calibri"/>
          <w:sz w:val="22"/>
          <w:szCs w:val="22"/>
        </w:rPr>
        <w:t xml:space="preserve">tímto </w:t>
      </w:r>
      <w:r>
        <w:rPr>
          <w:rFonts w:ascii="Century Gothic" w:hAnsi="Century Gothic" w:cs="Calibri"/>
          <w:sz w:val="22"/>
          <w:szCs w:val="22"/>
        </w:rPr>
        <w:t>dohodly</w:t>
      </w:r>
      <w:r w:rsidR="000E50A0">
        <w:rPr>
          <w:rFonts w:ascii="Century Gothic" w:hAnsi="Century Gothic" w:cs="Calibri"/>
          <w:sz w:val="22"/>
          <w:szCs w:val="22"/>
        </w:rPr>
        <w:t xml:space="preserve">, že </w:t>
      </w:r>
      <w:r w:rsidR="00D2057D">
        <w:rPr>
          <w:rFonts w:ascii="Century Gothic" w:hAnsi="Century Gothic" w:cs="Calibri"/>
          <w:sz w:val="22"/>
          <w:szCs w:val="22"/>
        </w:rPr>
        <w:t>příloh</w:t>
      </w:r>
      <w:r w:rsidR="000E50A0">
        <w:rPr>
          <w:rFonts w:ascii="Century Gothic" w:hAnsi="Century Gothic" w:cs="Calibri"/>
          <w:sz w:val="22"/>
          <w:szCs w:val="22"/>
        </w:rPr>
        <w:t>a</w:t>
      </w:r>
      <w:r w:rsidR="00D2057D">
        <w:rPr>
          <w:rFonts w:ascii="Century Gothic" w:hAnsi="Century Gothic" w:cs="Calibri"/>
          <w:sz w:val="22"/>
          <w:szCs w:val="22"/>
        </w:rPr>
        <w:t xml:space="preserve"> č. 1 </w:t>
      </w:r>
      <w:r w:rsidR="009B7BB9" w:rsidRPr="009B7BB9">
        <w:rPr>
          <w:rFonts w:ascii="Century Gothic" w:hAnsi="Century Gothic" w:cs="Calibri"/>
          <w:sz w:val="22"/>
          <w:szCs w:val="22"/>
        </w:rPr>
        <w:t>Smlouvy</w:t>
      </w:r>
      <w:r w:rsidR="00D2057D">
        <w:rPr>
          <w:rFonts w:ascii="Century Gothic" w:hAnsi="Century Gothic" w:cs="Calibri"/>
          <w:sz w:val="22"/>
          <w:szCs w:val="22"/>
        </w:rPr>
        <w:t xml:space="preserve"> </w:t>
      </w:r>
      <w:r w:rsidR="00CE5CC4">
        <w:rPr>
          <w:rFonts w:ascii="Century Gothic" w:hAnsi="Century Gothic" w:cs="Calibri"/>
          <w:sz w:val="22"/>
          <w:szCs w:val="22"/>
        </w:rPr>
        <w:t xml:space="preserve">– Harmonogram vydávání Magazínu </w:t>
      </w:r>
      <w:r w:rsidR="000E50A0">
        <w:rPr>
          <w:rFonts w:ascii="Century Gothic" w:hAnsi="Century Gothic" w:cs="Calibri"/>
          <w:sz w:val="22"/>
          <w:szCs w:val="22"/>
        </w:rPr>
        <w:t>–</w:t>
      </w:r>
      <w:r w:rsidR="00D2057D">
        <w:rPr>
          <w:rFonts w:ascii="Century Gothic" w:hAnsi="Century Gothic" w:cs="Calibri"/>
          <w:sz w:val="22"/>
          <w:szCs w:val="22"/>
        </w:rPr>
        <w:t xml:space="preserve"> </w:t>
      </w:r>
      <w:r w:rsidR="000E50A0">
        <w:rPr>
          <w:rFonts w:ascii="Century Gothic" w:hAnsi="Century Gothic" w:cs="Calibri"/>
          <w:sz w:val="22"/>
          <w:szCs w:val="22"/>
        </w:rPr>
        <w:t xml:space="preserve">bude mezi Smluvními stranami platná a účinná </w:t>
      </w:r>
      <w:r w:rsidR="00CE5CC4">
        <w:rPr>
          <w:rFonts w:ascii="Century Gothic" w:hAnsi="Century Gothic" w:cs="Calibri"/>
          <w:sz w:val="22"/>
          <w:szCs w:val="22"/>
        </w:rPr>
        <w:t>ve znění přílohy č. 1 tohoto Dodatku.</w:t>
      </w:r>
    </w:p>
    <w:p w:rsidR="009B7BB9" w:rsidRDefault="009B7BB9" w:rsidP="009B7BB9">
      <w:pPr>
        <w:pStyle w:val="Normln1"/>
        <w:widowControl/>
        <w:tabs>
          <w:tab w:val="left" w:pos="705"/>
        </w:tabs>
        <w:ind w:left="786"/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:rsidR="009B7BB9" w:rsidRDefault="009B7BB9" w:rsidP="009B7BB9">
      <w:pPr>
        <w:pStyle w:val="Normln1"/>
        <w:widowControl/>
        <w:tabs>
          <w:tab w:val="left" w:pos="705"/>
        </w:tabs>
        <w:ind w:left="786"/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:rsidR="009B7BB9" w:rsidRPr="009B7BB9" w:rsidRDefault="009B7BB9" w:rsidP="009B7BB9">
      <w:pPr>
        <w:pStyle w:val="Normln1"/>
        <w:widowControl/>
        <w:ind w:left="720" w:hanging="360"/>
        <w:jc w:val="center"/>
        <w:rPr>
          <w:rFonts w:ascii="Century Gothic" w:hAnsi="Century Gothic" w:cs="Calibri"/>
          <w:b/>
          <w:color w:val="auto"/>
          <w:sz w:val="22"/>
          <w:szCs w:val="22"/>
          <w:u w:val="single"/>
        </w:rPr>
      </w:pPr>
      <w:r w:rsidRPr="009B7BB9">
        <w:rPr>
          <w:rFonts w:ascii="Century Gothic" w:hAnsi="Century Gothic" w:cs="Calibri"/>
          <w:b/>
          <w:color w:val="auto"/>
          <w:sz w:val="22"/>
          <w:szCs w:val="22"/>
          <w:u w:val="single"/>
        </w:rPr>
        <w:t>II.</w:t>
      </w:r>
    </w:p>
    <w:p w:rsid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Default="00CE5CC4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Všechny ostatní body S</w:t>
      </w:r>
      <w:r w:rsidR="009B7BB9" w:rsidRPr="009B7BB9">
        <w:rPr>
          <w:rFonts w:ascii="Century Gothic" w:hAnsi="Century Gothic" w:cs="Calibri"/>
          <w:sz w:val="22"/>
          <w:szCs w:val="22"/>
        </w:rPr>
        <w:t xml:space="preserve">mlouvy zůstávají v platnosti, pokud se </w:t>
      </w:r>
      <w:r w:rsidR="000E50A0">
        <w:rPr>
          <w:rFonts w:ascii="Century Gothic" w:hAnsi="Century Gothic" w:cs="Calibri"/>
          <w:sz w:val="22"/>
          <w:szCs w:val="22"/>
        </w:rPr>
        <w:t>S</w:t>
      </w:r>
      <w:r w:rsidR="009B7BB9" w:rsidRPr="009B7BB9">
        <w:rPr>
          <w:rFonts w:ascii="Century Gothic" w:hAnsi="Century Gothic" w:cs="Calibri"/>
          <w:sz w:val="22"/>
          <w:szCs w:val="22"/>
        </w:rPr>
        <w:t>mluvní strany později nedohodnou jinak.</w:t>
      </w:r>
    </w:p>
    <w:p w:rsidR="000E50A0" w:rsidRDefault="000E50A0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P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Pr="009B7BB9" w:rsidRDefault="009B7BB9" w:rsidP="009B7BB9">
      <w:pPr>
        <w:pStyle w:val="Normln1"/>
        <w:widowControl/>
        <w:ind w:left="720" w:hanging="360"/>
        <w:jc w:val="center"/>
        <w:rPr>
          <w:rFonts w:ascii="Century Gothic" w:hAnsi="Century Gothic" w:cs="Calibri"/>
          <w:b/>
          <w:color w:val="auto"/>
          <w:sz w:val="22"/>
          <w:szCs w:val="22"/>
          <w:u w:val="single"/>
        </w:rPr>
      </w:pPr>
      <w:r w:rsidRPr="009B7BB9">
        <w:rPr>
          <w:rFonts w:ascii="Century Gothic" w:hAnsi="Century Gothic" w:cs="Calibri"/>
          <w:b/>
          <w:color w:val="auto"/>
          <w:sz w:val="22"/>
          <w:szCs w:val="22"/>
          <w:u w:val="single"/>
        </w:rPr>
        <w:lastRenderedPageBreak/>
        <w:t>III.</w:t>
      </w:r>
    </w:p>
    <w:p w:rsid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Default="00CE5CC4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Tento D</w:t>
      </w:r>
      <w:r w:rsidR="009B7BB9" w:rsidRPr="009B7BB9">
        <w:rPr>
          <w:rFonts w:ascii="Century Gothic" w:hAnsi="Century Gothic" w:cs="Calibri"/>
          <w:sz w:val="22"/>
          <w:szCs w:val="22"/>
        </w:rPr>
        <w:t xml:space="preserve">odatek je vyhotoven ve dvou exemplářích stejné právní síly, z nichž každá strana obdrží po jednom. </w:t>
      </w:r>
    </w:p>
    <w:p w:rsid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P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Pr="009B7BB9" w:rsidRDefault="009B7BB9" w:rsidP="009B7BB9">
      <w:pPr>
        <w:pStyle w:val="Normln1"/>
        <w:widowControl/>
        <w:ind w:left="720" w:hanging="360"/>
        <w:jc w:val="center"/>
        <w:rPr>
          <w:rFonts w:ascii="Century Gothic" w:hAnsi="Century Gothic" w:cs="Calibri"/>
          <w:b/>
          <w:color w:val="auto"/>
          <w:sz w:val="22"/>
          <w:szCs w:val="22"/>
          <w:u w:val="single"/>
        </w:rPr>
      </w:pPr>
      <w:r w:rsidRPr="009B7BB9">
        <w:rPr>
          <w:rFonts w:ascii="Century Gothic" w:hAnsi="Century Gothic" w:cs="Calibri"/>
          <w:b/>
          <w:color w:val="auto"/>
          <w:sz w:val="22"/>
          <w:szCs w:val="22"/>
          <w:u w:val="single"/>
        </w:rPr>
        <w:t>IV.</w:t>
      </w:r>
    </w:p>
    <w:p w:rsidR="009B7BB9" w:rsidRDefault="009B7BB9" w:rsidP="009B7BB9">
      <w:pPr>
        <w:pStyle w:val="Normln1"/>
        <w:widowControl/>
        <w:spacing w:after="120"/>
        <w:jc w:val="both"/>
        <w:rPr>
          <w:rFonts w:ascii="Century Gothic" w:hAnsi="Century Gothic" w:cs="Calibri"/>
          <w:sz w:val="22"/>
          <w:szCs w:val="22"/>
        </w:rPr>
      </w:pPr>
    </w:p>
    <w:p w:rsidR="009B7BB9" w:rsidRPr="00F17080" w:rsidRDefault="009B7BB9" w:rsidP="009B7BB9">
      <w:pPr>
        <w:pStyle w:val="Normln1"/>
        <w:widowControl/>
        <w:spacing w:after="120"/>
        <w:jc w:val="both"/>
        <w:rPr>
          <w:rFonts w:ascii="Century Gothic" w:hAnsi="Century Gothic" w:cs="Calibri"/>
          <w:color w:val="000000"/>
          <w:sz w:val="22"/>
          <w:szCs w:val="22"/>
        </w:rPr>
      </w:pPr>
      <w:r w:rsidRPr="00F17080">
        <w:rPr>
          <w:rFonts w:ascii="Century Gothic" w:hAnsi="Century Gothic" w:cs="Calibri"/>
          <w:sz w:val="22"/>
          <w:szCs w:val="22"/>
        </w:rPr>
        <w:t xml:space="preserve">Smluvní strany se dohodly, že </w:t>
      </w:r>
      <w:r w:rsidR="00CE5CC4">
        <w:rPr>
          <w:rFonts w:ascii="Century Gothic" w:hAnsi="Century Gothic" w:cs="Calibri"/>
          <w:sz w:val="22"/>
          <w:szCs w:val="22"/>
        </w:rPr>
        <w:t>D</w:t>
      </w:r>
      <w:r>
        <w:rPr>
          <w:rFonts w:ascii="Century Gothic" w:hAnsi="Century Gothic" w:cs="Calibri"/>
          <w:sz w:val="22"/>
          <w:szCs w:val="22"/>
        </w:rPr>
        <w:t>odatek</w:t>
      </w:r>
      <w:r w:rsidRPr="00F17080">
        <w:rPr>
          <w:rFonts w:ascii="Century Gothic" w:hAnsi="Century Gothic" w:cs="Calibri"/>
          <w:sz w:val="22"/>
          <w:szCs w:val="22"/>
        </w:rPr>
        <w:t xml:space="preserve"> nabývá platnosti dnem podpisu oběma smluvními stranami, účinnosti nejdříve dnem uveřejnění v registru smluv ve smyslu zákona č. 340/2015 Sb., avšak ne dříve než 1. 1. 2018. Před tímto datem tedy nemůže být ze </w:t>
      </w:r>
      <w:r w:rsidR="00CE5CC4">
        <w:rPr>
          <w:rFonts w:ascii="Century Gothic" w:hAnsi="Century Gothic" w:cs="Calibri"/>
          <w:sz w:val="22"/>
          <w:szCs w:val="22"/>
        </w:rPr>
        <w:t>S</w:t>
      </w:r>
      <w:r w:rsidRPr="00F17080">
        <w:rPr>
          <w:rFonts w:ascii="Century Gothic" w:hAnsi="Century Gothic" w:cs="Calibri"/>
          <w:sz w:val="22"/>
          <w:szCs w:val="22"/>
        </w:rPr>
        <w:t>mlouvy plněno.</w:t>
      </w:r>
    </w:p>
    <w:p w:rsidR="009B7BB9" w:rsidRP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Pr="009B7BB9" w:rsidRDefault="009B7BB9" w:rsidP="009B7BB9">
      <w:pPr>
        <w:pStyle w:val="Normln1"/>
        <w:widowControl/>
        <w:ind w:left="720" w:hanging="360"/>
        <w:jc w:val="center"/>
        <w:rPr>
          <w:rFonts w:ascii="Century Gothic" w:hAnsi="Century Gothic" w:cs="Calibri"/>
          <w:b/>
          <w:color w:val="auto"/>
          <w:sz w:val="22"/>
          <w:szCs w:val="22"/>
          <w:u w:val="single"/>
        </w:rPr>
      </w:pPr>
      <w:r w:rsidRPr="009B7BB9">
        <w:rPr>
          <w:rFonts w:ascii="Century Gothic" w:hAnsi="Century Gothic" w:cs="Calibri"/>
          <w:b/>
          <w:color w:val="auto"/>
          <w:sz w:val="22"/>
          <w:szCs w:val="22"/>
          <w:u w:val="single"/>
        </w:rPr>
        <w:t>V.</w:t>
      </w:r>
    </w:p>
    <w:p w:rsid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N</w:t>
      </w:r>
      <w:r w:rsidRPr="009B7BB9">
        <w:rPr>
          <w:rFonts w:ascii="Century Gothic" w:hAnsi="Century Gothic" w:cs="Calibri"/>
          <w:sz w:val="22"/>
          <w:szCs w:val="22"/>
        </w:rPr>
        <w:t xml:space="preserve">a důkaz výše uvedeného a souladu s obsahem tohoto </w:t>
      </w:r>
      <w:r w:rsidR="00CE5CC4">
        <w:rPr>
          <w:rFonts w:ascii="Century Gothic" w:hAnsi="Century Gothic" w:cs="Calibri"/>
          <w:sz w:val="22"/>
          <w:szCs w:val="22"/>
        </w:rPr>
        <w:t>D</w:t>
      </w:r>
      <w:r w:rsidRPr="009B7BB9">
        <w:rPr>
          <w:rFonts w:ascii="Century Gothic" w:hAnsi="Century Gothic" w:cs="Calibri"/>
          <w:sz w:val="22"/>
          <w:szCs w:val="22"/>
        </w:rPr>
        <w:t xml:space="preserve">odatku připojují zástupci obou </w:t>
      </w:r>
      <w:r w:rsidR="000E50A0">
        <w:rPr>
          <w:rFonts w:ascii="Century Gothic" w:hAnsi="Century Gothic" w:cs="Calibri"/>
          <w:sz w:val="22"/>
          <w:szCs w:val="22"/>
        </w:rPr>
        <w:t>S</w:t>
      </w:r>
      <w:r w:rsidRPr="009B7BB9">
        <w:rPr>
          <w:rFonts w:ascii="Century Gothic" w:hAnsi="Century Gothic" w:cs="Calibri"/>
          <w:sz w:val="22"/>
          <w:szCs w:val="22"/>
        </w:rPr>
        <w:t>mluvních stran své podpisy.</w:t>
      </w:r>
    </w:p>
    <w:p w:rsidR="009B7BB9" w:rsidRPr="009B7BB9" w:rsidRDefault="009B7BB9" w:rsidP="009B7BB9">
      <w:pPr>
        <w:pStyle w:val="Normln1"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C9592E">
      <w:pPr>
        <w:pStyle w:val="Normln1"/>
        <w:widowControl/>
        <w:tabs>
          <w:tab w:val="left" w:pos="705"/>
        </w:tabs>
        <w:ind w:left="283"/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:rsidR="00C9592E" w:rsidRDefault="00C9592E">
      <w:pPr>
        <w:pStyle w:val="Normln1"/>
        <w:widowControl/>
        <w:tabs>
          <w:tab w:val="left" w:pos="705"/>
        </w:tabs>
        <w:ind w:left="283"/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Poskytovatel:</w:t>
      </w: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</w:r>
      <w:r>
        <w:rPr>
          <w:rFonts w:ascii="Century Gothic" w:hAnsi="Century Gothic" w:cs="Calibri"/>
          <w:b/>
          <w:bCs/>
          <w:sz w:val="22"/>
          <w:szCs w:val="22"/>
        </w:rPr>
        <w:tab/>
        <w:t>Objednatel: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V Praze dne </w:t>
      </w:r>
      <w:r w:rsidR="009B7BB9">
        <w:rPr>
          <w:rFonts w:ascii="Century Gothic" w:hAnsi="Century Gothic" w:cs="Calibri"/>
          <w:sz w:val="22"/>
          <w:szCs w:val="22"/>
        </w:rPr>
        <w:t>________</w:t>
      </w:r>
      <w:r>
        <w:rPr>
          <w:rFonts w:ascii="Century Gothic" w:hAnsi="Century Gothic" w:cs="Calibri"/>
          <w:sz w:val="22"/>
          <w:szCs w:val="22"/>
        </w:rPr>
        <w:t>2017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>V Praze dne __________ 2017</w:t>
      </w: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C9592E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</w:p>
    <w:p w:rsidR="00C9592E" w:rsidRDefault="003B372A">
      <w:pPr>
        <w:pStyle w:val="Normln1"/>
        <w:widowControl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_________________________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>______________________________</w:t>
      </w:r>
    </w:p>
    <w:p w:rsidR="00C9592E" w:rsidRDefault="003B372A">
      <w:pPr>
        <w:pStyle w:val="Normln1"/>
        <w:rPr>
          <w:rFonts w:ascii="Century Gothic" w:hAnsi="Century Gothic" w:cs="Calibri"/>
          <w:b/>
          <w:sz w:val="22"/>
          <w:szCs w:val="22"/>
        </w:rPr>
      </w:pPr>
      <w:proofErr w:type="spellStart"/>
      <w:r>
        <w:rPr>
          <w:rFonts w:ascii="Century Gothic" w:hAnsi="Century Gothic" w:cs="Calibri"/>
          <w:b/>
          <w:bCs/>
          <w:sz w:val="22"/>
          <w:szCs w:val="22"/>
        </w:rPr>
        <w:t>Economia</w:t>
      </w:r>
      <w:proofErr w:type="spellEnd"/>
      <w:r>
        <w:rPr>
          <w:rFonts w:ascii="Century Gothic" w:hAnsi="Century Gothic" w:cs="Calibri"/>
          <w:b/>
          <w:bCs/>
          <w:sz w:val="22"/>
          <w:szCs w:val="22"/>
        </w:rPr>
        <w:t>, a.s.</w:t>
      </w:r>
      <w:r>
        <w:rPr>
          <w:rFonts w:ascii="Century Gothic" w:hAnsi="Century Gothic" w:cs="Calibri"/>
          <w:b/>
          <w:bCs/>
          <w:sz w:val="22"/>
          <w:szCs w:val="22"/>
        </w:rPr>
        <w:tab/>
        <w:t xml:space="preserve">                                   </w:t>
      </w:r>
      <w:r>
        <w:rPr>
          <w:rFonts w:ascii="Century Gothic" w:hAnsi="Century Gothic"/>
          <w:b/>
          <w:bCs/>
          <w:sz w:val="22"/>
          <w:szCs w:val="22"/>
        </w:rPr>
        <w:t>Česká agentura na podporu obchodu</w:t>
      </w:r>
    </w:p>
    <w:p w:rsidR="00C9592E" w:rsidRDefault="003B372A">
      <w:pPr>
        <w:pStyle w:val="Zhlav"/>
        <w:tabs>
          <w:tab w:val="center" w:pos="4962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Roman </w:t>
      </w:r>
      <w:proofErr w:type="spellStart"/>
      <w:r>
        <w:rPr>
          <w:rFonts w:ascii="Century Gothic" w:hAnsi="Century Gothic"/>
          <w:bCs/>
        </w:rPr>
        <w:t>Latuske</w:t>
      </w:r>
      <w:proofErr w:type="spellEnd"/>
      <w:r>
        <w:rPr>
          <w:rFonts w:ascii="Century Gothic" w:hAnsi="Century Gothic"/>
          <w:bCs/>
        </w:rPr>
        <w:tab/>
        <w:t xml:space="preserve">                      </w:t>
      </w:r>
      <w:r w:rsidR="009B7BB9">
        <w:rPr>
          <w:rFonts w:ascii="Century Gothic" w:hAnsi="Century Gothic"/>
          <w:bCs/>
        </w:rPr>
        <w:t xml:space="preserve">               </w:t>
      </w:r>
      <w:r>
        <w:rPr>
          <w:rFonts w:ascii="Century Gothic" w:hAnsi="Century Gothic"/>
          <w:bCs/>
        </w:rPr>
        <w:t xml:space="preserve"> Ing. Radomil Doležal, MBA                </w:t>
      </w:r>
    </w:p>
    <w:p w:rsidR="00C9592E" w:rsidRDefault="003B372A">
      <w:pPr>
        <w:rPr>
          <w:rFonts w:ascii="Century Gothic" w:hAnsi="Century Gothic"/>
        </w:rPr>
      </w:pPr>
      <w:r>
        <w:rPr>
          <w:rFonts w:ascii="Century Gothic" w:hAnsi="Century Gothic"/>
        </w:rPr>
        <w:t>předseda představenstva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generální ředitel   </w:t>
      </w:r>
    </w:p>
    <w:p w:rsidR="00C9592E" w:rsidRDefault="00C9592E">
      <w:pPr>
        <w:rPr>
          <w:rFonts w:ascii="Century Gothic" w:hAnsi="Century Gothic"/>
        </w:rPr>
      </w:pPr>
    </w:p>
    <w:p w:rsidR="00C9592E" w:rsidRDefault="003B37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:rsidR="00C9592E" w:rsidRDefault="003B372A">
      <w:pPr>
        <w:spacing w:after="0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Economia</w:t>
      </w:r>
      <w:proofErr w:type="spellEnd"/>
      <w:r>
        <w:rPr>
          <w:rFonts w:ascii="Century Gothic" w:hAnsi="Century Gothic"/>
          <w:b/>
        </w:rPr>
        <w:t>, a.s.</w:t>
      </w:r>
    </w:p>
    <w:p w:rsidR="00C9592E" w:rsidRDefault="003B37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Michal Brejcha</w:t>
      </w:r>
      <w:r>
        <w:rPr>
          <w:rFonts w:ascii="Century Gothic" w:hAnsi="Century Gothic"/>
        </w:rPr>
        <w:br/>
        <w:t>člen představenstva</w:t>
      </w:r>
    </w:p>
    <w:p w:rsidR="00C9592E" w:rsidRDefault="003B3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</w:t>
      </w:r>
    </w:p>
    <w:p w:rsidR="00C9592E" w:rsidRDefault="003B372A">
      <w:pPr>
        <w:spacing w:after="160" w:line="259" w:lineRule="auto"/>
        <w:rPr>
          <w:rFonts w:ascii="Century Gothic" w:hAnsi="Century Gothic"/>
        </w:rPr>
      </w:pPr>
      <w:r>
        <w:br w:type="page"/>
      </w:r>
    </w:p>
    <w:p w:rsidR="00C9592E" w:rsidRDefault="003B37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Příloha č. 1</w:t>
      </w:r>
    </w:p>
    <w:p w:rsidR="00C9592E" w:rsidRDefault="003B372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Harmonogram vydání Magazínu</w:t>
      </w:r>
    </w:p>
    <w:tbl>
      <w:tblPr>
        <w:tblW w:w="9047" w:type="dxa"/>
        <w:tblInd w:w="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05"/>
        <w:gridCol w:w="2072"/>
        <w:gridCol w:w="1842"/>
        <w:gridCol w:w="1701"/>
        <w:gridCol w:w="2127"/>
      </w:tblGrid>
      <w:tr w:rsidR="00C9592E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92E" w:rsidRDefault="003B372A">
            <w:pPr>
              <w:spacing w:line="255" w:lineRule="atLeast"/>
              <w:jc w:val="center"/>
            </w:pPr>
            <w:r>
              <w:rPr>
                <w:b/>
                <w:bCs/>
              </w:rPr>
              <w:t>Měsíc vydání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92E" w:rsidRDefault="003B372A">
            <w:pPr>
              <w:spacing w:line="255" w:lineRule="atLeast"/>
              <w:jc w:val="center"/>
            </w:pPr>
            <w:r>
              <w:rPr>
                <w:b/>
                <w:bCs/>
              </w:rPr>
              <w:t>Téma měsíce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92E" w:rsidRDefault="003B372A">
            <w:pPr>
              <w:spacing w:line="255" w:lineRule="atLeast"/>
              <w:jc w:val="center"/>
            </w:pPr>
            <w:r>
              <w:rPr>
                <w:b/>
                <w:bCs/>
              </w:rPr>
              <w:t>Uzávěrka pro podklady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92E" w:rsidRDefault="003B372A">
            <w:pPr>
              <w:spacing w:line="255" w:lineRule="atLeast"/>
              <w:jc w:val="center"/>
            </w:pPr>
            <w:r>
              <w:rPr>
                <w:b/>
                <w:bCs/>
              </w:rPr>
              <w:t>Uzávěrka výroby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9592E" w:rsidRDefault="003B372A">
            <w:pPr>
              <w:spacing w:line="255" w:lineRule="atLeast"/>
              <w:jc w:val="center"/>
            </w:pPr>
            <w:r>
              <w:rPr>
                <w:b/>
                <w:bCs/>
              </w:rPr>
              <w:t xml:space="preserve">Datum vydání v deníku /týdeníku 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Únor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  <w:rPr>
                <w:b/>
                <w:bCs/>
              </w:rPr>
            </w:pPr>
            <w:r>
              <w:rPr>
                <w:rFonts w:ascii="Century Gothic" w:hAnsi="Century Gothic"/>
              </w:rPr>
              <w:t>Chile, Mexiko (Argentina)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18.1.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1.2.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D4D82">
              <w:rPr>
                <w:rFonts w:ascii="Century Gothic" w:hAnsi="Century Gothic"/>
                <w:bCs/>
              </w:rPr>
              <w:t>20.2./22.2</w:t>
            </w:r>
            <w:proofErr w:type="gramEnd"/>
            <w:r w:rsidRPr="005D4D82">
              <w:rPr>
                <w:rFonts w:ascii="Century Gothic" w:hAnsi="Century Gothic"/>
                <w:bCs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  <w:rPr>
                <w:b/>
                <w:bCs/>
              </w:rPr>
            </w:pPr>
            <w:r>
              <w:rPr>
                <w:rFonts w:ascii="Century Gothic" w:hAnsi="Century Gothic"/>
              </w:rPr>
              <w:t>Březen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  <w:rPr>
                <w:b/>
                <w:bCs/>
              </w:rPr>
            </w:pPr>
            <w:r>
              <w:rPr>
                <w:rFonts w:ascii="Century Gothic" w:hAnsi="Century Gothic"/>
              </w:rPr>
              <w:t>Ukrajina, Rusko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15.2.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1.3.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 w:rsidRPr="005D4D82">
              <w:rPr>
                <w:rFonts w:ascii="Century Gothic" w:hAnsi="Century Gothic"/>
              </w:rPr>
              <w:t>20.3./22.3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Duben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Polsko, Maďarsko, Slovensko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22.3.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5.4.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 w:rsidRPr="005D4D82">
              <w:rPr>
                <w:rFonts w:ascii="Century Gothic" w:hAnsi="Century Gothic"/>
              </w:rPr>
              <w:t>24.4./26.4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Květen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Bulharsko, Srbsko, Černá Hora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19.4.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3.5.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 w:rsidRPr="005D4D82">
              <w:rPr>
                <w:rFonts w:ascii="Century Gothic" w:hAnsi="Century Gothic"/>
              </w:rPr>
              <w:t>22.5./24.5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Červen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USA, Kanada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24.5.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7.6.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 w:rsidRPr="005D4D82">
              <w:rPr>
                <w:rFonts w:ascii="Century Gothic" w:hAnsi="Century Gothic"/>
              </w:rPr>
              <w:t>26.6./28.6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Srpen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Německo, Rakousko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26.7.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9.8.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22.8./24.8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Září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Vietnam, Jižní Korea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23.8.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6.9.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 w:rsidRPr="005D4D82">
              <w:rPr>
                <w:rFonts w:ascii="Century Gothic" w:hAnsi="Century Gothic"/>
              </w:rPr>
              <w:t>18.9./20.9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Říjen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Francie, Benelux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20.9.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4.10.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 w:rsidRPr="005D4D82">
              <w:rPr>
                <w:rFonts w:ascii="Century Gothic" w:hAnsi="Century Gothic"/>
              </w:rPr>
              <w:t>23.10./25.10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Listopad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Čína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18.10.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1.11.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 w:rsidRPr="005D4D82">
              <w:rPr>
                <w:rFonts w:ascii="Century Gothic" w:hAnsi="Century Gothic"/>
              </w:rPr>
              <w:t>20.11./22.11</w:t>
            </w:r>
            <w:proofErr w:type="gramEnd"/>
            <w:r w:rsidRPr="005D4D82">
              <w:rPr>
                <w:rFonts w:ascii="Century Gothic" w:hAnsi="Century Gothic"/>
              </w:rPr>
              <w:t>.</w:t>
            </w:r>
          </w:p>
        </w:tc>
      </w:tr>
      <w:tr w:rsidR="00CA7AEC"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Prosinec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A7AEC" w:rsidRDefault="00CA7AEC" w:rsidP="00CA7AEC">
            <w:pPr>
              <w:spacing w:line="255" w:lineRule="atLeast"/>
            </w:pPr>
            <w:r>
              <w:rPr>
                <w:rFonts w:ascii="Century Gothic" w:hAnsi="Century Gothic"/>
              </w:rPr>
              <w:t>Velká Británie, Irsko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8.11.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5004B0" w:rsidP="00CA7AEC">
            <w:pPr>
              <w:spacing w:line="255" w:lineRule="atLeast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22.11.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A7AEC" w:rsidRPr="005D4D82" w:rsidRDefault="00CA7AEC" w:rsidP="00CA7AEC">
            <w:pPr>
              <w:spacing w:line="255" w:lineRule="atLeast"/>
              <w:jc w:val="center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11.12./13.12</w:t>
            </w:r>
            <w:proofErr w:type="gramEnd"/>
            <w:r>
              <w:rPr>
                <w:rFonts w:ascii="Century Gothic" w:hAnsi="Century Gothic"/>
              </w:rPr>
              <w:t>.</w:t>
            </w:r>
          </w:p>
        </w:tc>
      </w:tr>
    </w:tbl>
    <w:p w:rsidR="00C9592E" w:rsidRDefault="00C9592E">
      <w:pPr>
        <w:rPr>
          <w:rFonts w:ascii="Century Gothic" w:hAnsi="Century Gothic"/>
          <w:szCs w:val="20"/>
        </w:rPr>
      </w:pPr>
    </w:p>
    <w:p w:rsidR="00C9592E" w:rsidRDefault="00C9592E"/>
    <w:sectPr w:rsidR="00C9592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CD" w:rsidRDefault="00D645CD">
      <w:pPr>
        <w:spacing w:after="0" w:line="240" w:lineRule="auto"/>
      </w:pPr>
      <w:r>
        <w:separator/>
      </w:r>
    </w:p>
  </w:endnote>
  <w:endnote w:type="continuationSeparator" w:id="0">
    <w:p w:rsidR="00D645CD" w:rsidRDefault="00D6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418410"/>
      <w:docPartObj>
        <w:docPartGallery w:val="Page Numbers (Bottom of Page)"/>
        <w:docPartUnique/>
      </w:docPartObj>
    </w:sdtPr>
    <w:sdtEndPr/>
    <w:sdtContent>
      <w:p w:rsidR="00C9592E" w:rsidRDefault="003B372A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C6D86">
          <w:rPr>
            <w:noProof/>
          </w:rPr>
          <w:t>3</w:t>
        </w:r>
        <w:r>
          <w:fldChar w:fldCharType="end"/>
        </w:r>
      </w:p>
    </w:sdtContent>
  </w:sdt>
  <w:p w:rsidR="00C9592E" w:rsidRDefault="00C959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CD" w:rsidRDefault="00D645CD">
      <w:pPr>
        <w:spacing w:after="0" w:line="240" w:lineRule="auto"/>
      </w:pPr>
      <w:r>
        <w:separator/>
      </w:r>
    </w:p>
  </w:footnote>
  <w:footnote w:type="continuationSeparator" w:id="0">
    <w:p w:rsidR="00D645CD" w:rsidRDefault="00D6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9E9"/>
    <w:multiLevelType w:val="multilevel"/>
    <w:tmpl w:val="AD2053CE"/>
    <w:lvl w:ilvl="0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760141"/>
    <w:multiLevelType w:val="multilevel"/>
    <w:tmpl w:val="7D268C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7875C3"/>
    <w:multiLevelType w:val="multilevel"/>
    <w:tmpl w:val="1166FE0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2E"/>
    <w:rsid w:val="000E50A0"/>
    <w:rsid w:val="003B372A"/>
    <w:rsid w:val="005004B0"/>
    <w:rsid w:val="00680399"/>
    <w:rsid w:val="00732088"/>
    <w:rsid w:val="00774ED1"/>
    <w:rsid w:val="007E1DD1"/>
    <w:rsid w:val="009B7BB9"/>
    <w:rsid w:val="00AC6D86"/>
    <w:rsid w:val="00C9592E"/>
    <w:rsid w:val="00CA7AEC"/>
    <w:rsid w:val="00CE5CC4"/>
    <w:rsid w:val="00D2057D"/>
    <w:rsid w:val="00D645CD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02134-2FEC-4C01-99BC-F0E0E022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250"/>
    <w:pPr>
      <w:spacing w:after="200" w:line="276" w:lineRule="auto"/>
    </w:pPr>
    <w:rPr>
      <w:rFonts w:ascii="Calibri" w:eastAsia="Calibri" w:hAnsi="Calibri" w:cs="Calibri"/>
      <w:color w:val="000000"/>
      <w:sz w:val="22"/>
      <w:lang w:eastAsia="cs-CZ"/>
    </w:rPr>
  </w:style>
  <w:style w:type="paragraph" w:styleId="Nadpis2">
    <w:name w:val="heading 2"/>
    <w:basedOn w:val="Normln"/>
    <w:link w:val="Nadpis2Char"/>
    <w:uiPriority w:val="9"/>
    <w:unhideWhenUsed/>
    <w:qFormat/>
    <w:rsid w:val="00B80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B802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80250"/>
    <w:rPr>
      <w:rFonts w:ascii="Calibri" w:eastAsia="Calibri" w:hAnsi="Calibri" w:cs="Calibri"/>
      <w:color w:val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80250"/>
    <w:rPr>
      <w:rFonts w:ascii="Calibri" w:eastAsia="Calibri" w:hAnsi="Calibri" w:cs="Calibri"/>
      <w:color w:val="00000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B80250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Times New Roman"/>
      <w:sz w:val="22"/>
      <w:szCs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  <w:b/>
      <w:sz w:val="22"/>
      <w:szCs w:val="22"/>
    </w:rPr>
  </w:style>
  <w:style w:type="character" w:customStyle="1" w:styleId="ListLabel12">
    <w:name w:val="ListLabel 12"/>
    <w:qFormat/>
    <w:rPr>
      <w:rFonts w:cs="Times New Roman"/>
      <w:b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entury Gothic" w:eastAsia="Times New Roman" w:hAnsi="Century Gothic" w:cs="Calibri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Century Gothic" w:hAnsi="Century Gothic" w:cs="Calibri"/>
      <w:b/>
      <w:sz w:val="2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B8025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80250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80250"/>
    <w:pPr>
      <w:spacing w:after="0" w:line="240" w:lineRule="auto"/>
      <w:ind w:left="720"/>
    </w:pPr>
    <w:rPr>
      <w:rFonts w:cs="Times New Roman"/>
      <w:color w:val="00000A"/>
    </w:rPr>
  </w:style>
  <w:style w:type="paragraph" w:customStyle="1" w:styleId="Normln1">
    <w:name w:val="Normální1"/>
    <w:uiPriority w:val="99"/>
    <w:qFormat/>
    <w:rsid w:val="00B80250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customStyle="1" w:styleId="Recitals">
    <w:name w:val="Recitals"/>
    <w:basedOn w:val="Normln"/>
    <w:uiPriority w:val="99"/>
    <w:qFormat/>
    <w:rsid w:val="00B80250"/>
    <w:pPr>
      <w:spacing w:after="140" w:line="288" w:lineRule="auto"/>
      <w:jc w:val="both"/>
    </w:pPr>
    <w:rPr>
      <w:rFonts w:ascii="Arial" w:eastAsia="Times New Roman" w:hAnsi="Arial" w:cs="Times New Roman"/>
      <w:color w:val="00000A"/>
      <w:sz w:val="20"/>
      <w:szCs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B9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Economia, a.s.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Blažek</dc:creator>
  <dc:description/>
  <cp:lastModifiedBy>Sokoltová Lenka, Ing., MBA</cp:lastModifiedBy>
  <cp:revision>5</cp:revision>
  <cp:lastPrinted>2017-12-15T11:05:00Z</cp:lastPrinted>
  <dcterms:created xsi:type="dcterms:W3CDTF">2017-12-18T15:38:00Z</dcterms:created>
  <dcterms:modified xsi:type="dcterms:W3CDTF">2017-12-20T15:04:00Z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Economia,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